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0A71" w14:textId="78EC0DA9" w:rsidR="000A2B3B" w:rsidRPr="00A04681" w:rsidRDefault="000A2B3B" w:rsidP="00A04681"/>
    <w:p w14:paraId="7E9664B0" w14:textId="77777777" w:rsidR="00F625DA" w:rsidRDefault="00F625DA" w:rsidP="007C2400">
      <w:pPr>
        <w:pStyle w:val="Bezmezer"/>
        <w:jc w:val="both"/>
      </w:pPr>
    </w:p>
    <w:p w14:paraId="6BDB733F" w14:textId="77777777" w:rsidR="00A04681" w:rsidRPr="004D0465" w:rsidRDefault="00A04681" w:rsidP="00DE7DBC">
      <w:pPr>
        <w:pStyle w:val="Bezmezer"/>
        <w:ind w:left="142"/>
        <w:jc w:val="center"/>
        <w:rPr>
          <w:b/>
          <w:bCs/>
          <w:sz w:val="28"/>
          <w:szCs w:val="28"/>
          <w:highlight w:val="yellow"/>
        </w:rPr>
      </w:pPr>
      <w:r w:rsidRPr="004D0465">
        <w:rPr>
          <w:b/>
          <w:bCs/>
          <w:sz w:val="28"/>
          <w:szCs w:val="28"/>
        </w:rPr>
        <w:t xml:space="preserve">Češi více spoří a budují finanční jistotu, ukazuje průzkum </w:t>
      </w:r>
      <w:proofErr w:type="spellStart"/>
      <w:r w:rsidRPr="004D0465">
        <w:rPr>
          <w:b/>
          <w:bCs/>
          <w:sz w:val="28"/>
          <w:szCs w:val="28"/>
        </w:rPr>
        <w:t>Home</w:t>
      </w:r>
      <w:proofErr w:type="spellEnd"/>
      <w:r w:rsidRPr="004D0465">
        <w:rPr>
          <w:b/>
          <w:bCs/>
          <w:sz w:val="28"/>
          <w:szCs w:val="28"/>
        </w:rPr>
        <w:t xml:space="preserve"> </w:t>
      </w:r>
      <w:proofErr w:type="spellStart"/>
      <w:r w:rsidRPr="004D0465">
        <w:rPr>
          <w:b/>
          <w:bCs/>
          <w:sz w:val="28"/>
          <w:szCs w:val="28"/>
        </w:rPr>
        <w:t>Creditu</w:t>
      </w:r>
      <w:proofErr w:type="spellEnd"/>
    </w:p>
    <w:p w14:paraId="7EBB6463" w14:textId="77777777" w:rsidR="00A04681" w:rsidRPr="00A04681" w:rsidRDefault="00A04681" w:rsidP="00A04681">
      <w:pPr>
        <w:pStyle w:val="Bezmezer"/>
        <w:ind w:left="720"/>
        <w:rPr>
          <w:b/>
          <w:bCs/>
          <w:highlight w:val="yellow"/>
        </w:rPr>
      </w:pPr>
    </w:p>
    <w:p w14:paraId="6316860F" w14:textId="09BEA3BD" w:rsidR="00A04681" w:rsidRDefault="00A04681" w:rsidP="00A04681">
      <w:pPr>
        <w:pStyle w:val="Bezmezer"/>
        <w:jc w:val="both"/>
        <w:rPr>
          <w:b/>
          <w:bCs/>
        </w:rPr>
      </w:pPr>
      <w:r w:rsidRPr="00A04681">
        <w:rPr>
          <w:b/>
          <w:bCs/>
        </w:rPr>
        <w:t xml:space="preserve">Brno, </w:t>
      </w:r>
      <w:r w:rsidR="004D0465">
        <w:rPr>
          <w:b/>
          <w:bCs/>
        </w:rPr>
        <w:t>21</w:t>
      </w:r>
      <w:r w:rsidRPr="00A04681">
        <w:rPr>
          <w:b/>
          <w:bCs/>
        </w:rPr>
        <w:t>.</w:t>
      </w:r>
      <w:r w:rsidR="004D0465">
        <w:rPr>
          <w:b/>
          <w:bCs/>
        </w:rPr>
        <w:t xml:space="preserve"> 7</w:t>
      </w:r>
      <w:r w:rsidRPr="00A04681">
        <w:rPr>
          <w:b/>
          <w:bCs/>
        </w:rPr>
        <w:t>. 2025</w:t>
      </w:r>
    </w:p>
    <w:p w14:paraId="49B0D6D1" w14:textId="77777777" w:rsidR="00A04681" w:rsidRPr="00A04681" w:rsidRDefault="00A04681" w:rsidP="00A04681">
      <w:pPr>
        <w:pStyle w:val="Bezmezer"/>
        <w:rPr>
          <w:b/>
          <w:bCs/>
        </w:rPr>
      </w:pPr>
    </w:p>
    <w:p w14:paraId="202DE1AD" w14:textId="7BA1328F" w:rsidR="00A04681" w:rsidRPr="00A04681" w:rsidRDefault="0081471B" w:rsidP="00A04681">
      <w:pPr>
        <w:pStyle w:val="Bezmezer"/>
        <w:jc w:val="both"/>
        <w:rPr>
          <w:b/>
          <w:bCs/>
        </w:rPr>
      </w:pPr>
      <w:r w:rsidRPr="28090871">
        <w:rPr>
          <w:b/>
          <w:bCs/>
        </w:rPr>
        <w:t>Nejnovější průzkum</w:t>
      </w:r>
      <w:r w:rsidR="00A04681" w:rsidRPr="28090871">
        <w:rPr>
          <w:b/>
          <w:bCs/>
        </w:rPr>
        <w:t xml:space="preserve"> společnosti Home Credit ukazuje, že Češi si začínají více uvědomovat důležitost finanční rezervy, </w:t>
      </w:r>
      <w:r w:rsidR="00580826" w:rsidRPr="28090871">
        <w:rPr>
          <w:b/>
          <w:bCs/>
        </w:rPr>
        <w:t>navyšují j</w:t>
      </w:r>
      <w:r w:rsidR="007809A0" w:rsidRPr="28090871">
        <w:rPr>
          <w:b/>
          <w:bCs/>
        </w:rPr>
        <w:t>i</w:t>
      </w:r>
      <w:r w:rsidR="00F206BF" w:rsidRPr="28090871">
        <w:rPr>
          <w:b/>
          <w:bCs/>
        </w:rPr>
        <w:t xml:space="preserve"> a </w:t>
      </w:r>
      <w:r w:rsidR="00A04681" w:rsidRPr="28090871">
        <w:rPr>
          <w:b/>
          <w:bCs/>
        </w:rPr>
        <w:t xml:space="preserve">více spoří. Přesto však část domácností, zejména s nižšími příjmy, žije stále bez dostatečné finanční jistoty. Podle </w:t>
      </w:r>
      <w:r w:rsidRPr="28090871">
        <w:rPr>
          <w:b/>
          <w:bCs/>
        </w:rPr>
        <w:t>šetření</w:t>
      </w:r>
      <w:r w:rsidR="00A04681" w:rsidRPr="28090871">
        <w:rPr>
          <w:b/>
          <w:bCs/>
        </w:rPr>
        <w:t xml:space="preserve">* Home Creditu si více než 5 000 Kč měsíčně odkládá </w:t>
      </w:r>
      <w:r w:rsidR="007931A1" w:rsidRPr="28090871">
        <w:rPr>
          <w:b/>
          <w:bCs/>
        </w:rPr>
        <w:t>3</w:t>
      </w:r>
      <w:r w:rsidR="00A04681" w:rsidRPr="28090871">
        <w:rPr>
          <w:b/>
          <w:bCs/>
        </w:rPr>
        <w:t xml:space="preserve">3 % domácností, což je </w:t>
      </w:r>
      <w:r w:rsidR="00D36A0E" w:rsidRPr="28090871">
        <w:rPr>
          <w:b/>
          <w:bCs/>
        </w:rPr>
        <w:t>o 5</w:t>
      </w:r>
      <w:r w:rsidR="00A04681" w:rsidRPr="28090871">
        <w:rPr>
          <w:b/>
          <w:bCs/>
        </w:rPr>
        <w:t xml:space="preserve"> %</w:t>
      </w:r>
      <w:r w:rsidR="00FF470A" w:rsidRPr="28090871">
        <w:rPr>
          <w:b/>
          <w:bCs/>
        </w:rPr>
        <w:t xml:space="preserve"> více než v minulém roce</w:t>
      </w:r>
      <w:r w:rsidR="00A04681" w:rsidRPr="28090871">
        <w:rPr>
          <w:b/>
          <w:bCs/>
        </w:rPr>
        <w:t>. Na druh</w:t>
      </w:r>
      <w:r w:rsidR="00FF470A" w:rsidRPr="28090871">
        <w:rPr>
          <w:b/>
          <w:bCs/>
        </w:rPr>
        <w:t>ou</w:t>
      </w:r>
      <w:r w:rsidR="00A04681" w:rsidRPr="28090871">
        <w:rPr>
          <w:b/>
          <w:bCs/>
        </w:rPr>
        <w:t xml:space="preserve"> stran</w:t>
      </w:r>
      <w:r w:rsidR="00FF470A" w:rsidRPr="28090871">
        <w:rPr>
          <w:b/>
          <w:bCs/>
        </w:rPr>
        <w:t>u</w:t>
      </w:r>
      <w:r w:rsidR="00A04681" w:rsidRPr="28090871">
        <w:rPr>
          <w:b/>
          <w:bCs/>
        </w:rPr>
        <w:t xml:space="preserve"> </w:t>
      </w:r>
      <w:r w:rsidR="00B25132" w:rsidRPr="28090871">
        <w:rPr>
          <w:b/>
          <w:bCs/>
        </w:rPr>
        <w:t>si</w:t>
      </w:r>
      <w:r w:rsidR="00A04681" w:rsidRPr="28090871">
        <w:rPr>
          <w:b/>
          <w:bCs/>
        </w:rPr>
        <w:t xml:space="preserve"> 11 % domácností stále neodkládá vůbec nic a dalších 11 % dokáže ušetřit méně než 1 000 Kč měsíčně. Nej</w:t>
      </w:r>
      <w:r w:rsidR="009221F4">
        <w:rPr>
          <w:b/>
          <w:bCs/>
        </w:rPr>
        <w:t>více se s úsporami potýkají</w:t>
      </w:r>
      <w:r w:rsidR="00A04681" w:rsidRPr="28090871">
        <w:rPr>
          <w:b/>
          <w:bCs/>
        </w:rPr>
        <w:t xml:space="preserve"> domácnosti s příjmem do 25 000 Kč, z nichž si 21 % neodkládá vůbec nic a 30 % jen velmi málo. Pozitivní zpráva je, že domácnosti s příjmem nad 60 000 </w:t>
      </w:r>
      <w:r w:rsidR="07F0FB57" w:rsidRPr="28090871">
        <w:rPr>
          <w:b/>
          <w:bCs/>
        </w:rPr>
        <w:t xml:space="preserve">Kč </w:t>
      </w:r>
      <w:r w:rsidR="00A04681" w:rsidRPr="28090871">
        <w:rPr>
          <w:b/>
          <w:bCs/>
        </w:rPr>
        <w:t>a mladí lidé ve věku 18–26 let si často odkládají více než 10 000 Kč měsíčně.</w:t>
      </w:r>
      <w:r w:rsidR="009221F4">
        <w:rPr>
          <w:b/>
          <w:bCs/>
        </w:rPr>
        <w:t xml:space="preserve"> </w:t>
      </w:r>
      <w:r w:rsidR="009221F4" w:rsidRPr="009221F4">
        <w:rPr>
          <w:b/>
          <w:bCs/>
        </w:rPr>
        <w:t>Tyto statistiky ukazují, že přístup k úsporám se výrazně liší v</w:t>
      </w:r>
      <w:r w:rsidR="0029332C">
        <w:rPr>
          <w:b/>
          <w:bCs/>
        </w:rPr>
        <w:t> </w:t>
      </w:r>
      <w:r w:rsidR="009221F4" w:rsidRPr="009221F4">
        <w:rPr>
          <w:b/>
          <w:bCs/>
        </w:rPr>
        <w:t>závislosti na příjmech, vzdělání i věku.</w:t>
      </w:r>
    </w:p>
    <w:p w14:paraId="1B3763D8" w14:textId="77777777" w:rsidR="00A04681" w:rsidRPr="00A04681" w:rsidRDefault="00A04681" w:rsidP="00A04681">
      <w:pPr>
        <w:pStyle w:val="Bezmezer"/>
        <w:jc w:val="both"/>
        <w:rPr>
          <w:b/>
          <w:bCs/>
        </w:rPr>
      </w:pPr>
    </w:p>
    <w:p w14:paraId="36FE1F93" w14:textId="5A9BB2AD" w:rsidR="00A04681" w:rsidRPr="00A04681" w:rsidRDefault="0029332C" w:rsidP="00A04681">
      <w:pPr>
        <w:pStyle w:val="Bezmezer"/>
        <w:jc w:val="both"/>
        <w:rPr>
          <w:b/>
          <w:bCs/>
        </w:rPr>
      </w:pPr>
      <w:r>
        <w:rPr>
          <w:b/>
          <w:bCs/>
        </w:rPr>
        <w:t>Jak vysoká je finanční rezerva českých domácností?</w:t>
      </w:r>
    </w:p>
    <w:p w14:paraId="4E0E1687" w14:textId="4ADE3C31" w:rsidR="00A04681" w:rsidRPr="00A04681" w:rsidRDefault="00A04681" w:rsidP="00A04681">
      <w:pPr>
        <w:pStyle w:val="Bezmezer"/>
        <w:jc w:val="both"/>
      </w:pPr>
      <w:r w:rsidRPr="00A04681">
        <w:t xml:space="preserve">V oblasti výše finančních rezerv je vidět mírné zlepšení. Zatímco loni nemělo žádnou rezervu 14 % domácností, letos je to už </w:t>
      </w:r>
      <w:r w:rsidRPr="004D0465">
        <w:t>jen 10 %.</w:t>
      </w:r>
      <w:r w:rsidRPr="00A04681">
        <w:t xml:space="preserve"> Přesto čtvrtina Čechů disponuje rezervou pouze ve výši jednoho měsíčního příjmu nebo </w:t>
      </w:r>
      <w:r w:rsidR="00A02507">
        <w:t>nižší</w:t>
      </w:r>
      <w:r w:rsidRPr="00A04681">
        <w:t>. Na druhé straně více než pětinásobek měsíčního příjmu má naspořeno 26 % domácností. Nejlépe jsou na tom domácnosti s</w:t>
      </w:r>
      <w:r>
        <w:t> </w:t>
      </w:r>
      <w:r w:rsidRPr="00A04681">
        <w:t>příjmem nad 70 000 Kč, kde si tuto úroveň rezervy drží 58 % respondentů. Výrazně lépe jsou na tom také vysokoškoláci (45 %) a lidé z Prahy (51 %).</w:t>
      </w:r>
    </w:p>
    <w:p w14:paraId="0D8327DE" w14:textId="77777777" w:rsidR="00A04681" w:rsidRPr="00A04681" w:rsidRDefault="00A04681" w:rsidP="00A04681">
      <w:pPr>
        <w:pStyle w:val="Bezmezer"/>
        <w:jc w:val="both"/>
      </w:pPr>
    </w:p>
    <w:p w14:paraId="7B9D158F" w14:textId="5CAB2DB9" w:rsidR="00A04681" w:rsidRPr="00A04681" w:rsidRDefault="00A04681" w:rsidP="00A04681">
      <w:pPr>
        <w:pStyle w:val="Bezmezer"/>
        <w:jc w:val="both"/>
      </w:pPr>
      <w:r>
        <w:t>„</w:t>
      </w:r>
      <w:r w:rsidRPr="28090871">
        <w:rPr>
          <w:i/>
          <w:iCs/>
        </w:rPr>
        <w:t xml:space="preserve">Mít dostatečnou finanční rezervu je klíčové pro zvládání nečekaných životních situací, jako jsou výpadky příjmů, nenadálé výdaje nebo zdravotní komplikace. Ideální finanční rezerva by měla pokrývat alespoň tři až šest měsíců běžných výdajů domácnosti. Nejlepším způsobem, jak si ji vytvořit, je pravidelné odkládání i menších částek, které se postupně nasčítají. Doporučuji začít s realistickým plánem, například </w:t>
      </w:r>
      <w:r w:rsidR="004A0768" w:rsidRPr="28090871">
        <w:rPr>
          <w:i/>
          <w:iCs/>
        </w:rPr>
        <w:t xml:space="preserve">s </w:t>
      </w:r>
      <w:r w:rsidRPr="28090871">
        <w:rPr>
          <w:i/>
          <w:iCs/>
        </w:rPr>
        <w:t>odkládáním 10 % z každého příjmu, a tyto prostředky ukládat na spořicí účet nebo do jiných bezpečných finančních produktů. Důležité je také vyhnout se impulzivnímu utrácení a zaměřit se na dlouhodobé cíle. Finanční rezerva není jen o bezpečí, ale také o klidu a jistotě, že zvládneme jakoukoli situaci,“</w:t>
      </w:r>
      <w:r>
        <w:t xml:space="preserve"> říká Miroslav Zborovský, ombudsman </w:t>
      </w:r>
      <w:r w:rsidR="003B239B">
        <w:t xml:space="preserve">klientů </w:t>
      </w:r>
      <w:proofErr w:type="spellStart"/>
      <w:r>
        <w:t>Home</w:t>
      </w:r>
      <w:proofErr w:type="spellEnd"/>
      <w:r>
        <w:t xml:space="preserve"> </w:t>
      </w:r>
      <w:proofErr w:type="spellStart"/>
      <w:r>
        <w:t>Creditu</w:t>
      </w:r>
      <w:proofErr w:type="spellEnd"/>
      <w:r>
        <w:t>.</w:t>
      </w:r>
    </w:p>
    <w:p w14:paraId="54510BB4" w14:textId="77777777" w:rsidR="00A04681" w:rsidRPr="00A04681" w:rsidRDefault="00A04681" w:rsidP="00A04681">
      <w:pPr>
        <w:pStyle w:val="Bezmezer"/>
        <w:jc w:val="both"/>
      </w:pPr>
    </w:p>
    <w:p w14:paraId="443AE2DD" w14:textId="36AF09D4" w:rsidR="00A04681" w:rsidRPr="00A04681" w:rsidRDefault="00663E8F" w:rsidP="00A04681">
      <w:pPr>
        <w:pStyle w:val="Bezmezer"/>
        <w:jc w:val="both"/>
      </w:pPr>
      <w:r>
        <w:rPr>
          <w:b/>
          <w:bCs/>
        </w:rPr>
        <w:t>Vývoj</w:t>
      </w:r>
      <w:r w:rsidRPr="00A04681">
        <w:rPr>
          <w:b/>
          <w:bCs/>
        </w:rPr>
        <w:t xml:space="preserve"> </w:t>
      </w:r>
      <w:r w:rsidR="00A04681" w:rsidRPr="00A04681">
        <w:rPr>
          <w:b/>
          <w:bCs/>
        </w:rPr>
        <w:t>výše finanční rezervy ve srovnání s loňským rokem</w:t>
      </w:r>
    </w:p>
    <w:p w14:paraId="221E1666" w14:textId="1E953E48" w:rsidR="00A04681" w:rsidRDefault="0029332C" w:rsidP="00A04681">
      <w:pPr>
        <w:pStyle w:val="Bezmezer"/>
        <w:jc w:val="both"/>
      </w:pPr>
      <w:r>
        <w:rPr>
          <w:noProof/>
        </w:rPr>
        <w:drawing>
          <wp:anchor distT="0" distB="0" distL="114300" distR="114300" simplePos="0" relativeHeight="251661312" behindDoc="0" locked="0" layoutInCell="1" allowOverlap="1" wp14:anchorId="13DB8164" wp14:editId="67F82C3A">
            <wp:simplePos x="0" y="0"/>
            <wp:positionH relativeFrom="column">
              <wp:posOffset>2613546</wp:posOffset>
            </wp:positionH>
            <wp:positionV relativeFrom="paragraph">
              <wp:posOffset>382019</wp:posOffset>
            </wp:positionV>
            <wp:extent cx="4034155" cy="2272030"/>
            <wp:effectExtent l="12700" t="12700" r="17145" b="13970"/>
            <wp:wrapSquare wrapText="bothSides"/>
            <wp:docPr id="13843334" name="Obrázek 3" descr="Obsah obrázku text, snímek obrazovky,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334" name="Obrázek 3" descr="Obsah obrázku text, snímek obrazovky, Písmo&#10;&#10;Obsah generovaný pomocí AI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155" cy="22720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04681" w:rsidRPr="00A04681">
        <w:t>Finanční situace Čechů se ve srovnání s loňským rokem zlepšila – vyšší finanční rezervu nyní deklaruje 28 % lidí, zatímco loni to bylo pouze 19 %. Naopak pokles rezervy uvedlo 38 % respondentů, což je výrazné zlepšení oproti loňským 48 %. Největší nárůst rezerv hlásí mladí lidé ve věku 18–26 let (41 %), domácnosti s</w:t>
      </w:r>
      <w:r>
        <w:t> </w:t>
      </w:r>
      <w:r w:rsidR="00A04681" w:rsidRPr="00A04681">
        <w:t>příjmem nad 60 tisíc korun měsíčně (37</w:t>
      </w:r>
      <w:r w:rsidR="00A04681">
        <w:t> </w:t>
      </w:r>
      <w:r w:rsidR="00A04681" w:rsidRPr="00A04681">
        <w:t>%), vysokoškolsky vzdělaní (36 %) a</w:t>
      </w:r>
      <w:r>
        <w:t> </w:t>
      </w:r>
      <w:r w:rsidR="00A04681" w:rsidRPr="00A04681">
        <w:t xml:space="preserve">svobodní (33 %). Na </w:t>
      </w:r>
      <w:r w:rsidR="00834A8B">
        <w:t>opačné</w:t>
      </w:r>
      <w:r w:rsidR="00A04681" w:rsidRPr="00A04681">
        <w:t xml:space="preserve"> straně spektra se pokles rezervy nejčastěji týká domácností s příjmem do 40 tisíc korun měsíčně (47 %), lidí bez maturity (46 %) a</w:t>
      </w:r>
      <w:r>
        <w:t> </w:t>
      </w:r>
      <w:r w:rsidR="00A04681" w:rsidRPr="00A04681">
        <w:t>osob ve věku 36–44 let (43 %). Tato čísla ukazují, že i přes pozitivní trendy zůstávají mezi jednotlivými skupinami obyvatel výrazné rozdíly v</w:t>
      </w:r>
      <w:r>
        <w:t> </w:t>
      </w:r>
      <w:r w:rsidR="00A04681" w:rsidRPr="00A04681">
        <w:t>možnostech tvořit finanční rezervy.</w:t>
      </w:r>
    </w:p>
    <w:p w14:paraId="6233EDF7" w14:textId="5207CD39" w:rsidR="00A85F27" w:rsidRDefault="00A85F27" w:rsidP="00A04681">
      <w:pPr>
        <w:pStyle w:val="Bezmezer"/>
        <w:jc w:val="both"/>
      </w:pPr>
    </w:p>
    <w:p w14:paraId="200EA307" w14:textId="77777777" w:rsidR="00A04681" w:rsidRPr="00A04681" w:rsidRDefault="00A04681" w:rsidP="00A04681">
      <w:pPr>
        <w:pStyle w:val="Bezmezer"/>
        <w:jc w:val="both"/>
      </w:pPr>
    </w:p>
    <w:p w14:paraId="774DFFEC" w14:textId="4383CC0D" w:rsidR="00A04681" w:rsidRPr="00A04681" w:rsidRDefault="00A04681" w:rsidP="00A04681">
      <w:pPr>
        <w:pStyle w:val="Bezmezer"/>
        <w:jc w:val="both"/>
        <w:rPr>
          <w:b/>
          <w:bCs/>
        </w:rPr>
      </w:pPr>
      <w:r w:rsidRPr="00A04681">
        <w:rPr>
          <w:b/>
          <w:bCs/>
        </w:rPr>
        <w:t xml:space="preserve">Kam Češi ukládají své úspory? </w:t>
      </w:r>
    </w:p>
    <w:p w14:paraId="065FFBC5" w14:textId="4FEEE65B" w:rsidR="00A04681" w:rsidRPr="00A04681" w:rsidRDefault="001B17BF" w:rsidP="00A04681">
      <w:pPr>
        <w:pStyle w:val="Bezmezer"/>
        <w:jc w:val="both"/>
      </w:pPr>
      <w:r>
        <w:t>„</w:t>
      </w:r>
      <w:r w:rsidR="00A04681" w:rsidRPr="009E535B">
        <w:rPr>
          <w:i/>
          <w:iCs/>
        </w:rPr>
        <w:t xml:space="preserve">Spořicí účty zůstávají nejoblíbenějším </w:t>
      </w:r>
      <w:r w:rsidR="00A02507">
        <w:rPr>
          <w:i/>
          <w:iCs/>
        </w:rPr>
        <w:t>nástrojem</w:t>
      </w:r>
      <w:r w:rsidR="00A04681" w:rsidRPr="009E535B">
        <w:rPr>
          <w:i/>
          <w:iCs/>
        </w:rPr>
        <w:t xml:space="preserve"> pro ukládání finančních rezerv. Využívá je 72 % Čechů, nejčastěji vysokoškoláci (77 %). Na běžném účtu si rezervu nechává 32 % lidí, což je o </w:t>
      </w:r>
      <w:proofErr w:type="gramStart"/>
      <w:r w:rsidR="00A04681" w:rsidRPr="009E535B">
        <w:rPr>
          <w:i/>
          <w:iCs/>
        </w:rPr>
        <w:t>7</w:t>
      </w:r>
      <w:r w:rsidR="00FF7C4E">
        <w:rPr>
          <w:i/>
          <w:iCs/>
        </w:rPr>
        <w:t xml:space="preserve"> </w:t>
      </w:r>
      <w:r w:rsidR="00A04681" w:rsidRPr="009E535B">
        <w:rPr>
          <w:i/>
          <w:iCs/>
        </w:rPr>
        <w:t>procentních</w:t>
      </w:r>
      <w:proofErr w:type="gramEnd"/>
      <w:r w:rsidR="00A04681" w:rsidRPr="009E535B">
        <w:rPr>
          <w:i/>
          <w:iCs/>
        </w:rPr>
        <w:t xml:space="preserve"> bodů méně než loni</w:t>
      </w:r>
      <w:r>
        <w:t>,</w:t>
      </w:r>
      <w:r w:rsidR="00A85282">
        <w:t>“</w:t>
      </w:r>
      <w:r w:rsidR="00A85282" w:rsidRPr="00A04681">
        <w:t xml:space="preserve"> </w:t>
      </w:r>
      <w:r>
        <w:t>uvádí Jaroslav Ondrušek, analytik společnosti Home Credit</w:t>
      </w:r>
      <w:r w:rsidR="006C1EF8">
        <w:t>,</w:t>
      </w:r>
      <w:r>
        <w:t xml:space="preserve"> a dodává: „</w:t>
      </w:r>
      <w:r w:rsidR="00A04681" w:rsidRPr="009E535B">
        <w:rPr>
          <w:i/>
          <w:iCs/>
        </w:rPr>
        <w:t>Za zajímavost stojí zmínka, že lidé s nižším vzděláním a také ti, kteří bydlí v menších obcích do 1000 obyvatel</w:t>
      </w:r>
      <w:r w:rsidR="00FE3D8E">
        <w:rPr>
          <w:i/>
          <w:iCs/>
        </w:rPr>
        <w:t>,</w:t>
      </w:r>
      <w:r w:rsidR="00A04681" w:rsidRPr="009E535B">
        <w:rPr>
          <w:i/>
          <w:iCs/>
        </w:rPr>
        <w:t xml:space="preserve"> si uchovávají finanční rezervu doma v hotovosti</w:t>
      </w:r>
      <w:r w:rsidR="00A04681" w:rsidRPr="00A04681">
        <w:t>.</w:t>
      </w:r>
      <w:r>
        <w:t>“</w:t>
      </w:r>
      <w:r w:rsidR="00A04681" w:rsidRPr="00A04681">
        <w:t xml:space="preserve"> </w:t>
      </w:r>
    </w:p>
    <w:p w14:paraId="2B4A71C9" w14:textId="1B080CD9" w:rsidR="00A04681" w:rsidRPr="00A04681" w:rsidRDefault="0029332C" w:rsidP="00A04681">
      <w:pPr>
        <w:pStyle w:val="Bezmezer"/>
        <w:jc w:val="both"/>
      </w:pPr>
      <w:r>
        <w:rPr>
          <w:noProof/>
        </w:rPr>
        <w:lastRenderedPageBreak/>
        <w:drawing>
          <wp:anchor distT="0" distB="0" distL="114300" distR="114300" simplePos="0" relativeHeight="251659264" behindDoc="1" locked="0" layoutInCell="1" allowOverlap="1" wp14:anchorId="3F02179D" wp14:editId="3B92308A">
            <wp:simplePos x="0" y="0"/>
            <wp:positionH relativeFrom="column">
              <wp:posOffset>6985</wp:posOffset>
            </wp:positionH>
            <wp:positionV relativeFrom="paragraph">
              <wp:posOffset>154940</wp:posOffset>
            </wp:positionV>
            <wp:extent cx="4572000" cy="2559600"/>
            <wp:effectExtent l="12700" t="12700" r="12700" b="19050"/>
            <wp:wrapTopAndBottom/>
            <wp:docPr id="1369955696" name="Obrázek 4" descr="Obsah obrázku text, snímek obrazovky,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55696" name="Obrázek 4" descr="Obsah obrázku text, snímek obrazovky, Písmo&#10;&#10;Obsah generovaný pomocí AI může být nesprávný."/>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5596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1FBEEDB" w14:textId="52E2D220" w:rsidR="00A04681" w:rsidRPr="00A04681" w:rsidRDefault="00A04681" w:rsidP="00A04681">
      <w:pPr>
        <w:pStyle w:val="Bezmezer"/>
        <w:jc w:val="both"/>
        <w:rPr>
          <w:b/>
          <w:bCs/>
        </w:rPr>
      </w:pPr>
      <w:r w:rsidRPr="00A04681">
        <w:rPr>
          <w:b/>
          <w:bCs/>
        </w:rPr>
        <w:t>Investice: ETF fondy a akcie na vzestupu</w:t>
      </w:r>
    </w:p>
    <w:p w14:paraId="1907224D" w14:textId="72CDB40B" w:rsidR="00A04681" w:rsidRPr="00A04681" w:rsidRDefault="00A04681" w:rsidP="00A04681">
      <w:pPr>
        <w:pStyle w:val="Bezmezer"/>
        <w:jc w:val="both"/>
      </w:pPr>
      <w:r w:rsidRPr="00A04681">
        <w:t>Investování se stává stále populárnější, zejména mezi mladými lidmi a vzdělanými Čechy. Investiční produkty využívá téměř polovina Čechů (49 %). Nejpopulárnější jsou ETF fondy, které využívá 19 % respondentů, mezi lidmi s</w:t>
      </w:r>
      <w:r w:rsidR="00970BB0">
        <w:t> </w:t>
      </w:r>
      <w:r w:rsidRPr="00A04681">
        <w:t xml:space="preserve">příjmem nad 50 000 Kč je to až 40 %. Akcie konkrétních firem preferuje 18 % Čechů, nejčastěji vysokoškoláci (30 %) a mladí ve věku 18–26 let (26 %). Nemovitosti jsou oblíbené zejména mezi lidmi s vyššími příjmy (36 %), zatímco kryptoměny přitahují mladé </w:t>
      </w:r>
      <w:r w:rsidR="00970BB0">
        <w:t xml:space="preserve">investory </w:t>
      </w:r>
      <w:r w:rsidRPr="00A04681">
        <w:t xml:space="preserve">a obyvatele Prahy. Naopak 51 % Čechů neinvestuje vůbec, přičemž nejčastěji jde o ženy, osoby bez maturity a domácnosti s nižšími příjmy. </w:t>
      </w:r>
    </w:p>
    <w:p w14:paraId="41552073" w14:textId="6AD27C08" w:rsidR="002D1A54" w:rsidRPr="00A04681" w:rsidRDefault="002D1A54" w:rsidP="00A04681">
      <w:pPr>
        <w:pStyle w:val="Bezmezer"/>
        <w:jc w:val="both"/>
      </w:pPr>
    </w:p>
    <w:p w14:paraId="2B599A36" w14:textId="10F1DA75" w:rsidR="00BB5213" w:rsidRPr="00BB5213" w:rsidRDefault="00B669F7" w:rsidP="00A04681">
      <w:pPr>
        <w:pStyle w:val="Bezmezer"/>
        <w:jc w:val="both"/>
        <w:rPr>
          <w:i/>
          <w:iCs/>
        </w:rPr>
      </w:pPr>
      <w:r>
        <w:rPr>
          <w:i/>
          <w:iCs/>
        </w:rPr>
        <w:t>*</w:t>
      </w:r>
      <w:r w:rsidR="00BB5213" w:rsidRPr="00BB5213">
        <w:rPr>
          <w:i/>
          <w:iCs/>
        </w:rPr>
        <w:t>Sběr dat byl realizován v</w:t>
      </w:r>
      <w:r w:rsidR="0029332C">
        <w:rPr>
          <w:i/>
          <w:iCs/>
        </w:rPr>
        <w:t>e dnech</w:t>
      </w:r>
      <w:r w:rsidR="00970BB0">
        <w:rPr>
          <w:i/>
          <w:iCs/>
        </w:rPr>
        <w:t xml:space="preserve"> 3. – 6. </w:t>
      </w:r>
      <w:r w:rsidR="00A04681">
        <w:rPr>
          <w:i/>
          <w:iCs/>
        </w:rPr>
        <w:t>červn</w:t>
      </w:r>
      <w:r w:rsidR="00970BB0">
        <w:rPr>
          <w:i/>
          <w:iCs/>
        </w:rPr>
        <w:t>a</w:t>
      </w:r>
      <w:r w:rsidR="00BB5213" w:rsidRPr="00BB5213">
        <w:rPr>
          <w:i/>
          <w:iCs/>
        </w:rPr>
        <w:t xml:space="preserve"> 2025 prostřednictvím aplikace Instant </w:t>
      </w:r>
      <w:proofErr w:type="spellStart"/>
      <w:r w:rsidR="00BB5213" w:rsidRPr="00BB5213">
        <w:rPr>
          <w:i/>
          <w:iCs/>
        </w:rPr>
        <w:t>Research</w:t>
      </w:r>
      <w:proofErr w:type="spellEnd"/>
      <w:r w:rsidR="00BB5213" w:rsidRPr="00BB5213">
        <w:rPr>
          <w:i/>
          <w:iCs/>
        </w:rPr>
        <w:t xml:space="preserve"> agentury Ipsos na reprezentativním vzorku 10</w:t>
      </w:r>
      <w:r w:rsidR="00A04681">
        <w:rPr>
          <w:i/>
          <w:iCs/>
        </w:rPr>
        <w:t>19</w:t>
      </w:r>
      <w:r w:rsidR="00BB5213" w:rsidRPr="00BB5213">
        <w:rPr>
          <w:i/>
          <w:iCs/>
        </w:rPr>
        <w:t xml:space="preserve"> respondentů ve věku 18-65 let, česká online populace.</w:t>
      </w:r>
    </w:p>
    <w:p w14:paraId="4205A4F3" w14:textId="77777777" w:rsidR="00606CF8" w:rsidRDefault="00606CF8" w:rsidP="00857320">
      <w:pPr>
        <w:rPr>
          <w:rFonts w:cstheme="minorHAnsi"/>
        </w:rPr>
      </w:pPr>
    </w:p>
    <w:p w14:paraId="20953BD8" w14:textId="401D6056" w:rsidR="00822043" w:rsidRPr="003928C4" w:rsidRDefault="00857320" w:rsidP="00857320">
      <w:pPr>
        <w:rPr>
          <w:rFonts w:asciiTheme="minorHAnsi" w:hAnsiTheme="minorHAnsi" w:cstheme="minorHAnsi"/>
          <w:sz w:val="22"/>
          <w:szCs w:val="22"/>
        </w:rPr>
      </w:pPr>
      <w:r w:rsidRPr="003928C4">
        <w:rPr>
          <w:rFonts w:asciiTheme="minorHAnsi" w:hAnsiTheme="minorHAnsi" w:cstheme="minorHAnsi"/>
          <w:sz w:val="22"/>
          <w:szCs w:val="22"/>
        </w:rPr>
        <w:t>Kateřina Dobešová</w:t>
      </w:r>
      <w:r w:rsidRPr="003928C4">
        <w:rPr>
          <w:rFonts w:asciiTheme="minorHAnsi" w:hAnsiTheme="minorHAnsi" w:cstheme="minorHAnsi"/>
          <w:sz w:val="22"/>
          <w:szCs w:val="22"/>
        </w:rPr>
        <w:br/>
        <w:t>Tisková mluvčí Home Credit ČR a SR</w:t>
      </w:r>
      <w:r w:rsidRPr="003928C4">
        <w:rPr>
          <w:rFonts w:asciiTheme="minorHAnsi" w:hAnsiTheme="minorHAnsi" w:cstheme="minorHAnsi"/>
          <w:sz w:val="22"/>
          <w:szCs w:val="22"/>
        </w:rPr>
        <w:br/>
        <w:t xml:space="preserve">Tel.: </w:t>
      </w:r>
      <w:hyperlink r:id="rId13" w:history="1">
        <w:r w:rsidRPr="003928C4">
          <w:rPr>
            <w:rStyle w:val="Hypertextovodkaz"/>
            <w:rFonts w:asciiTheme="minorHAnsi" w:hAnsiTheme="minorHAnsi" w:cstheme="minorHAnsi"/>
            <w:sz w:val="22"/>
            <w:szCs w:val="22"/>
          </w:rPr>
          <w:t>+ 420 736 473 813</w:t>
        </w:r>
        <w:r w:rsidRPr="003928C4">
          <w:rPr>
            <w:rStyle w:val="Hypertextovodkaz"/>
            <w:rFonts w:asciiTheme="minorHAnsi" w:hAnsiTheme="minorHAnsi" w:cstheme="minorHAnsi"/>
            <w:sz w:val="22"/>
            <w:szCs w:val="22"/>
          </w:rPr>
          <w:br/>
        </w:r>
      </w:hyperlink>
      <w:r w:rsidRPr="003928C4">
        <w:rPr>
          <w:rFonts w:asciiTheme="minorHAnsi" w:hAnsiTheme="minorHAnsi" w:cstheme="minorHAnsi"/>
          <w:sz w:val="22"/>
          <w:szCs w:val="22"/>
        </w:rPr>
        <w:t xml:space="preserve">E-mail: </w:t>
      </w:r>
      <w:hyperlink r:id="rId14" w:history="1">
        <w:r w:rsidRPr="003928C4">
          <w:rPr>
            <w:rStyle w:val="Hypertextovodkaz"/>
            <w:rFonts w:asciiTheme="minorHAnsi" w:hAnsiTheme="minorHAnsi" w:cstheme="minorHAnsi"/>
            <w:sz w:val="22"/>
            <w:szCs w:val="22"/>
          </w:rPr>
          <w:t>katerina.dobesova@homecredit.cz</w:t>
        </w:r>
      </w:hyperlink>
    </w:p>
    <w:p w14:paraId="544E48F3" w14:textId="77777777" w:rsidR="00FE358B" w:rsidRPr="003928C4" w:rsidRDefault="00FE358B" w:rsidP="00857320">
      <w:pPr>
        <w:rPr>
          <w:rFonts w:asciiTheme="minorHAnsi" w:hAnsiTheme="minorHAnsi" w:cstheme="minorHAnsi"/>
          <w:sz w:val="22"/>
          <w:szCs w:val="22"/>
        </w:rPr>
      </w:pPr>
    </w:p>
    <w:p w14:paraId="63DCEEDD" w14:textId="77777777" w:rsidR="00FE358B" w:rsidRPr="003928C4" w:rsidRDefault="00FE358B" w:rsidP="00FE358B">
      <w:pPr>
        <w:rPr>
          <w:rFonts w:asciiTheme="minorHAnsi" w:hAnsiTheme="minorHAnsi" w:cstheme="minorHAnsi"/>
          <w:sz w:val="22"/>
          <w:szCs w:val="22"/>
        </w:rPr>
      </w:pPr>
      <w:r w:rsidRPr="003928C4">
        <w:rPr>
          <w:rFonts w:asciiTheme="minorHAnsi" w:hAnsiTheme="minorHAnsi" w:cstheme="minorHAnsi"/>
          <w:b/>
          <w:sz w:val="22"/>
          <w:szCs w:val="22"/>
        </w:rPr>
        <w:t>Poznámka pro editory:</w:t>
      </w:r>
    </w:p>
    <w:p w14:paraId="2DC48761" w14:textId="77777777" w:rsidR="00FE358B" w:rsidRPr="003928C4" w:rsidRDefault="00FE358B" w:rsidP="00FE358B">
      <w:pPr>
        <w:rPr>
          <w:rFonts w:asciiTheme="minorHAnsi" w:hAnsiTheme="minorHAnsi" w:cstheme="minorHAnsi"/>
          <w:b/>
          <w:bCs/>
          <w:sz w:val="22"/>
          <w:szCs w:val="22"/>
        </w:rPr>
      </w:pPr>
      <w:r w:rsidRPr="003928C4">
        <w:rPr>
          <w:rFonts w:asciiTheme="minorHAnsi" w:hAnsiTheme="minorHAnsi" w:cstheme="minorHAnsi"/>
          <w:b/>
          <w:bCs/>
          <w:sz w:val="22"/>
          <w:szCs w:val="22"/>
        </w:rPr>
        <w:t>Společnost Home Credit a.s.</w:t>
      </w:r>
      <w:r w:rsidRPr="003928C4">
        <w:rPr>
          <w:rFonts w:asciiTheme="minorHAnsi" w:hAnsiTheme="minorHAnsi" w:cstheme="minorHAnsi"/>
          <w:sz w:val="22"/>
          <w:szCs w:val="22"/>
        </w:rP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2024 úvěry v celkové výši 18,2 miliardy Kč. Více na </w:t>
      </w:r>
      <w:hyperlink r:id="rId15" w:history="1">
        <w:r w:rsidRPr="003928C4">
          <w:rPr>
            <w:rStyle w:val="Hypertextovodkaz"/>
            <w:rFonts w:asciiTheme="minorHAnsi" w:hAnsiTheme="minorHAnsi" w:cstheme="minorHAnsi"/>
            <w:sz w:val="22"/>
            <w:szCs w:val="22"/>
          </w:rPr>
          <w:t>www.homecredit.cz</w:t>
        </w:r>
      </w:hyperlink>
    </w:p>
    <w:p w14:paraId="61D2CAE8" w14:textId="77777777" w:rsidR="00BB5213" w:rsidRPr="003928C4" w:rsidRDefault="00BB5213" w:rsidP="00FE358B">
      <w:pPr>
        <w:rPr>
          <w:rFonts w:asciiTheme="minorHAnsi" w:hAnsiTheme="minorHAnsi" w:cstheme="minorHAnsi"/>
          <w:b/>
          <w:bCs/>
          <w:sz w:val="22"/>
          <w:szCs w:val="22"/>
        </w:rPr>
      </w:pPr>
    </w:p>
    <w:p w14:paraId="678A532D" w14:textId="238C8B90" w:rsidR="00FE358B" w:rsidRPr="003928C4" w:rsidRDefault="00FE358B" w:rsidP="00FE358B">
      <w:pPr>
        <w:rPr>
          <w:rFonts w:asciiTheme="minorHAnsi" w:hAnsiTheme="minorHAnsi" w:cstheme="minorHAnsi"/>
          <w:sz w:val="22"/>
          <w:szCs w:val="22"/>
        </w:rPr>
      </w:pPr>
      <w:r w:rsidRPr="003928C4">
        <w:rPr>
          <w:rFonts w:asciiTheme="minorHAnsi" w:hAnsiTheme="minorHAnsi" w:cstheme="minorHAnsi"/>
          <w:b/>
          <w:bCs/>
          <w:sz w:val="22"/>
          <w:szCs w:val="22"/>
        </w:rPr>
        <w:t>Skupina PPF</w:t>
      </w:r>
      <w:r w:rsidRPr="003928C4">
        <w:rPr>
          <w:rFonts w:asciiTheme="minorHAnsi" w:hAnsiTheme="minorHAnsi" w:cstheme="minorHAnsi"/>
          <w:sz w:val="22"/>
          <w:szCs w:val="22"/>
        </w:rPr>
        <w:t> působí ve 25 zemích Evropy, Asie a Severní Ameriky. Investuje do řady oborů, jako jsou finanční služby, telekomunikace, média, e-</w:t>
      </w:r>
      <w:proofErr w:type="spellStart"/>
      <w:r w:rsidRPr="003928C4">
        <w:rPr>
          <w:rFonts w:asciiTheme="minorHAnsi" w:hAnsiTheme="minorHAnsi" w:cstheme="minorHAnsi"/>
          <w:sz w:val="22"/>
          <w:szCs w:val="22"/>
        </w:rPr>
        <w:t>commerce</w:t>
      </w:r>
      <w:proofErr w:type="spellEnd"/>
      <w:r w:rsidRPr="003928C4">
        <w:rPr>
          <w:rFonts w:asciiTheme="minorHAnsi" w:hAnsiTheme="minorHAnsi" w:cstheme="minorHAnsi"/>
          <w:sz w:val="22"/>
          <w:szCs w:val="22"/>
        </w:rPr>
        <w:t>, nemovitosti, biotechnologie či dopravní strojírenství. Skupina vlastní aktiva ve výši více než 44 miliardy eur a zaměstnává celosvětově 47 tisíc lidí (k 30. 6. 2024).</w:t>
      </w:r>
    </w:p>
    <w:p w14:paraId="00A20D17" w14:textId="77777777" w:rsidR="00FE358B" w:rsidRDefault="00FE358B" w:rsidP="00857320">
      <w:pPr>
        <w:rPr>
          <w:rFonts w:asciiTheme="minorHAnsi" w:hAnsiTheme="minorHAnsi" w:cstheme="minorHAnsi"/>
          <w:sz w:val="22"/>
          <w:szCs w:val="22"/>
        </w:rPr>
      </w:pPr>
    </w:p>
    <w:p w14:paraId="0242F9FF" w14:textId="3C56C2A8" w:rsidR="00E54428" w:rsidRDefault="00E54428" w:rsidP="00857320">
      <w:pPr>
        <w:rPr>
          <w:rFonts w:asciiTheme="minorHAnsi" w:hAnsiTheme="minorHAnsi" w:cstheme="minorHAnsi"/>
          <w:sz w:val="22"/>
          <w:szCs w:val="22"/>
        </w:rPr>
      </w:pPr>
    </w:p>
    <w:p w14:paraId="0C0CBDD3" w14:textId="67767A93" w:rsidR="00E54428" w:rsidRPr="003928C4" w:rsidRDefault="00E54428" w:rsidP="00857320">
      <w:pPr>
        <w:rPr>
          <w:rFonts w:asciiTheme="minorHAnsi" w:hAnsiTheme="minorHAnsi" w:cstheme="minorHAnsi"/>
          <w:sz w:val="22"/>
          <w:szCs w:val="22"/>
        </w:rPr>
      </w:pPr>
    </w:p>
    <w:sectPr w:rsidR="00E54428" w:rsidRPr="003928C4" w:rsidSect="00A03809">
      <w:headerReference w:type="default" r:id="rId16"/>
      <w:footerReference w:type="even" r:id="rId17"/>
      <w:footerReference w:type="default" r:id="rId18"/>
      <w:footerReference w:type="first" r:id="rId19"/>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BDD4" w14:textId="77777777" w:rsidR="00DC2464" w:rsidRDefault="00DC2464" w:rsidP="00DE7D53">
      <w:r>
        <w:separator/>
      </w:r>
    </w:p>
  </w:endnote>
  <w:endnote w:type="continuationSeparator" w:id="0">
    <w:p w14:paraId="079F2BC0" w14:textId="77777777" w:rsidR="00DC2464" w:rsidRDefault="00DC2464" w:rsidP="00DE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2719" w14:textId="77777777" w:rsidR="00DC2464" w:rsidRDefault="00DC2464" w:rsidP="00DE7D53">
      <w:r>
        <w:separator/>
      </w:r>
    </w:p>
  </w:footnote>
  <w:footnote w:type="continuationSeparator" w:id="0">
    <w:p w14:paraId="399E12E1" w14:textId="77777777" w:rsidR="00DC2464" w:rsidRDefault="00DC2464" w:rsidP="00DE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6F22"/>
    <w:multiLevelType w:val="hybridMultilevel"/>
    <w:tmpl w:val="80466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1777F"/>
    <w:multiLevelType w:val="hybridMultilevel"/>
    <w:tmpl w:val="394C6672"/>
    <w:lvl w:ilvl="0" w:tplc="8C76F24A">
      <w:start w:val="1"/>
      <w:numFmt w:val="bullet"/>
      <w:lvlText w:val="•"/>
      <w:lvlJc w:val="left"/>
      <w:pPr>
        <w:tabs>
          <w:tab w:val="num" w:pos="720"/>
        </w:tabs>
        <w:ind w:left="720" w:hanging="360"/>
      </w:pPr>
      <w:rPr>
        <w:rFonts w:ascii="Arial" w:hAnsi="Arial" w:hint="default"/>
      </w:rPr>
    </w:lvl>
    <w:lvl w:ilvl="1" w:tplc="B68C9E58">
      <w:numFmt w:val="bullet"/>
      <w:lvlText w:val="o"/>
      <w:lvlJc w:val="left"/>
      <w:pPr>
        <w:tabs>
          <w:tab w:val="num" w:pos="1440"/>
        </w:tabs>
        <w:ind w:left="1440" w:hanging="360"/>
      </w:pPr>
      <w:rPr>
        <w:rFonts w:ascii="Courier New" w:hAnsi="Courier New" w:hint="default"/>
      </w:rPr>
    </w:lvl>
    <w:lvl w:ilvl="2" w:tplc="112885B6" w:tentative="1">
      <w:start w:val="1"/>
      <w:numFmt w:val="bullet"/>
      <w:lvlText w:val="•"/>
      <w:lvlJc w:val="left"/>
      <w:pPr>
        <w:tabs>
          <w:tab w:val="num" w:pos="2160"/>
        </w:tabs>
        <w:ind w:left="2160" w:hanging="360"/>
      </w:pPr>
      <w:rPr>
        <w:rFonts w:ascii="Arial" w:hAnsi="Arial" w:hint="default"/>
      </w:rPr>
    </w:lvl>
    <w:lvl w:ilvl="3" w:tplc="02E4552A" w:tentative="1">
      <w:start w:val="1"/>
      <w:numFmt w:val="bullet"/>
      <w:lvlText w:val="•"/>
      <w:lvlJc w:val="left"/>
      <w:pPr>
        <w:tabs>
          <w:tab w:val="num" w:pos="2880"/>
        </w:tabs>
        <w:ind w:left="2880" w:hanging="360"/>
      </w:pPr>
      <w:rPr>
        <w:rFonts w:ascii="Arial" w:hAnsi="Arial" w:hint="default"/>
      </w:rPr>
    </w:lvl>
    <w:lvl w:ilvl="4" w:tplc="7C706764" w:tentative="1">
      <w:start w:val="1"/>
      <w:numFmt w:val="bullet"/>
      <w:lvlText w:val="•"/>
      <w:lvlJc w:val="left"/>
      <w:pPr>
        <w:tabs>
          <w:tab w:val="num" w:pos="3600"/>
        </w:tabs>
        <w:ind w:left="3600" w:hanging="360"/>
      </w:pPr>
      <w:rPr>
        <w:rFonts w:ascii="Arial" w:hAnsi="Arial" w:hint="default"/>
      </w:rPr>
    </w:lvl>
    <w:lvl w:ilvl="5" w:tplc="C9B6DDCC" w:tentative="1">
      <w:start w:val="1"/>
      <w:numFmt w:val="bullet"/>
      <w:lvlText w:val="•"/>
      <w:lvlJc w:val="left"/>
      <w:pPr>
        <w:tabs>
          <w:tab w:val="num" w:pos="4320"/>
        </w:tabs>
        <w:ind w:left="4320" w:hanging="360"/>
      </w:pPr>
      <w:rPr>
        <w:rFonts w:ascii="Arial" w:hAnsi="Arial" w:hint="default"/>
      </w:rPr>
    </w:lvl>
    <w:lvl w:ilvl="6" w:tplc="6E52D3C4" w:tentative="1">
      <w:start w:val="1"/>
      <w:numFmt w:val="bullet"/>
      <w:lvlText w:val="•"/>
      <w:lvlJc w:val="left"/>
      <w:pPr>
        <w:tabs>
          <w:tab w:val="num" w:pos="5040"/>
        </w:tabs>
        <w:ind w:left="5040" w:hanging="360"/>
      </w:pPr>
      <w:rPr>
        <w:rFonts w:ascii="Arial" w:hAnsi="Arial" w:hint="default"/>
      </w:rPr>
    </w:lvl>
    <w:lvl w:ilvl="7" w:tplc="AC9A14D4" w:tentative="1">
      <w:start w:val="1"/>
      <w:numFmt w:val="bullet"/>
      <w:lvlText w:val="•"/>
      <w:lvlJc w:val="left"/>
      <w:pPr>
        <w:tabs>
          <w:tab w:val="num" w:pos="5760"/>
        </w:tabs>
        <w:ind w:left="5760" w:hanging="360"/>
      </w:pPr>
      <w:rPr>
        <w:rFonts w:ascii="Arial" w:hAnsi="Arial" w:hint="default"/>
      </w:rPr>
    </w:lvl>
    <w:lvl w:ilvl="8" w:tplc="66289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D30A42"/>
    <w:multiLevelType w:val="hybridMultilevel"/>
    <w:tmpl w:val="761EE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7029C3"/>
    <w:multiLevelType w:val="hybridMultilevel"/>
    <w:tmpl w:val="8F6E0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A5F2C"/>
    <w:multiLevelType w:val="hybridMultilevel"/>
    <w:tmpl w:val="AEA2FE08"/>
    <w:lvl w:ilvl="0" w:tplc="1DC465BE">
      <w:start w:val="1"/>
      <w:numFmt w:val="bullet"/>
      <w:lvlText w:val="•"/>
      <w:lvlJc w:val="left"/>
      <w:pPr>
        <w:tabs>
          <w:tab w:val="num" w:pos="720"/>
        </w:tabs>
        <w:ind w:left="720" w:hanging="360"/>
      </w:pPr>
      <w:rPr>
        <w:rFonts w:ascii="Arial" w:hAnsi="Arial" w:hint="default"/>
      </w:rPr>
    </w:lvl>
    <w:lvl w:ilvl="1" w:tplc="C56C496A">
      <w:numFmt w:val="bullet"/>
      <w:lvlText w:val="o"/>
      <w:lvlJc w:val="left"/>
      <w:pPr>
        <w:tabs>
          <w:tab w:val="num" w:pos="1440"/>
        </w:tabs>
        <w:ind w:left="1440" w:hanging="360"/>
      </w:pPr>
      <w:rPr>
        <w:rFonts w:ascii="Courier New" w:hAnsi="Courier New" w:hint="default"/>
      </w:rPr>
    </w:lvl>
    <w:lvl w:ilvl="2" w:tplc="B9821FF2" w:tentative="1">
      <w:start w:val="1"/>
      <w:numFmt w:val="bullet"/>
      <w:lvlText w:val="•"/>
      <w:lvlJc w:val="left"/>
      <w:pPr>
        <w:tabs>
          <w:tab w:val="num" w:pos="2160"/>
        </w:tabs>
        <w:ind w:left="2160" w:hanging="360"/>
      </w:pPr>
      <w:rPr>
        <w:rFonts w:ascii="Arial" w:hAnsi="Arial" w:hint="default"/>
      </w:rPr>
    </w:lvl>
    <w:lvl w:ilvl="3" w:tplc="DCA6708C" w:tentative="1">
      <w:start w:val="1"/>
      <w:numFmt w:val="bullet"/>
      <w:lvlText w:val="•"/>
      <w:lvlJc w:val="left"/>
      <w:pPr>
        <w:tabs>
          <w:tab w:val="num" w:pos="2880"/>
        </w:tabs>
        <w:ind w:left="2880" w:hanging="360"/>
      </w:pPr>
      <w:rPr>
        <w:rFonts w:ascii="Arial" w:hAnsi="Arial" w:hint="default"/>
      </w:rPr>
    </w:lvl>
    <w:lvl w:ilvl="4" w:tplc="2A3C9344" w:tentative="1">
      <w:start w:val="1"/>
      <w:numFmt w:val="bullet"/>
      <w:lvlText w:val="•"/>
      <w:lvlJc w:val="left"/>
      <w:pPr>
        <w:tabs>
          <w:tab w:val="num" w:pos="3600"/>
        </w:tabs>
        <w:ind w:left="3600" w:hanging="360"/>
      </w:pPr>
      <w:rPr>
        <w:rFonts w:ascii="Arial" w:hAnsi="Arial" w:hint="default"/>
      </w:rPr>
    </w:lvl>
    <w:lvl w:ilvl="5" w:tplc="0E681CD0" w:tentative="1">
      <w:start w:val="1"/>
      <w:numFmt w:val="bullet"/>
      <w:lvlText w:val="•"/>
      <w:lvlJc w:val="left"/>
      <w:pPr>
        <w:tabs>
          <w:tab w:val="num" w:pos="4320"/>
        </w:tabs>
        <w:ind w:left="4320" w:hanging="360"/>
      </w:pPr>
      <w:rPr>
        <w:rFonts w:ascii="Arial" w:hAnsi="Arial" w:hint="default"/>
      </w:rPr>
    </w:lvl>
    <w:lvl w:ilvl="6" w:tplc="C9A43E5E" w:tentative="1">
      <w:start w:val="1"/>
      <w:numFmt w:val="bullet"/>
      <w:lvlText w:val="•"/>
      <w:lvlJc w:val="left"/>
      <w:pPr>
        <w:tabs>
          <w:tab w:val="num" w:pos="5040"/>
        </w:tabs>
        <w:ind w:left="5040" w:hanging="360"/>
      </w:pPr>
      <w:rPr>
        <w:rFonts w:ascii="Arial" w:hAnsi="Arial" w:hint="default"/>
      </w:rPr>
    </w:lvl>
    <w:lvl w:ilvl="7" w:tplc="294494C8" w:tentative="1">
      <w:start w:val="1"/>
      <w:numFmt w:val="bullet"/>
      <w:lvlText w:val="•"/>
      <w:lvlJc w:val="left"/>
      <w:pPr>
        <w:tabs>
          <w:tab w:val="num" w:pos="5760"/>
        </w:tabs>
        <w:ind w:left="5760" w:hanging="360"/>
      </w:pPr>
      <w:rPr>
        <w:rFonts w:ascii="Arial" w:hAnsi="Arial" w:hint="default"/>
      </w:rPr>
    </w:lvl>
    <w:lvl w:ilvl="8" w:tplc="460491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A50E8F"/>
    <w:multiLevelType w:val="hybridMultilevel"/>
    <w:tmpl w:val="6BFCF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6407067">
    <w:abstractNumId w:val="5"/>
  </w:num>
  <w:num w:numId="2" w16cid:durableId="122619825">
    <w:abstractNumId w:val="1"/>
  </w:num>
  <w:num w:numId="3" w16cid:durableId="566305748">
    <w:abstractNumId w:val="7"/>
  </w:num>
  <w:num w:numId="4" w16cid:durableId="1098714329">
    <w:abstractNumId w:val="6"/>
  </w:num>
  <w:num w:numId="5" w16cid:durableId="1173253298">
    <w:abstractNumId w:val="3"/>
  </w:num>
  <w:num w:numId="6" w16cid:durableId="700276923">
    <w:abstractNumId w:val="8"/>
  </w:num>
  <w:num w:numId="7" w16cid:durableId="1024525087">
    <w:abstractNumId w:val="2"/>
  </w:num>
  <w:num w:numId="8" w16cid:durableId="838271279">
    <w:abstractNumId w:val="0"/>
  </w:num>
  <w:num w:numId="9" w16cid:durableId="1190341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04D35"/>
    <w:rsid w:val="000124A5"/>
    <w:rsid w:val="00013FDD"/>
    <w:rsid w:val="00016DF7"/>
    <w:rsid w:val="00020CB5"/>
    <w:rsid w:val="000258E4"/>
    <w:rsid w:val="00026E77"/>
    <w:rsid w:val="000337EF"/>
    <w:rsid w:val="00034C1D"/>
    <w:rsid w:val="00041243"/>
    <w:rsid w:val="0004388C"/>
    <w:rsid w:val="0005132D"/>
    <w:rsid w:val="00054154"/>
    <w:rsid w:val="00057C8D"/>
    <w:rsid w:val="00057F7B"/>
    <w:rsid w:val="00060670"/>
    <w:rsid w:val="00060DC3"/>
    <w:rsid w:val="000626A5"/>
    <w:rsid w:val="00074F07"/>
    <w:rsid w:val="00075B39"/>
    <w:rsid w:val="00076358"/>
    <w:rsid w:val="00076F13"/>
    <w:rsid w:val="000865C2"/>
    <w:rsid w:val="00092372"/>
    <w:rsid w:val="000A2B3B"/>
    <w:rsid w:val="000A3588"/>
    <w:rsid w:val="000B176E"/>
    <w:rsid w:val="000B3348"/>
    <w:rsid w:val="000B7A25"/>
    <w:rsid w:val="000C0472"/>
    <w:rsid w:val="000C22A8"/>
    <w:rsid w:val="000C38C0"/>
    <w:rsid w:val="000C4E9E"/>
    <w:rsid w:val="000C4FDF"/>
    <w:rsid w:val="000C5FAB"/>
    <w:rsid w:val="000D2C21"/>
    <w:rsid w:val="000D691E"/>
    <w:rsid w:val="000E6878"/>
    <w:rsid w:val="000F1F4F"/>
    <w:rsid w:val="0010054A"/>
    <w:rsid w:val="00112076"/>
    <w:rsid w:val="001244B4"/>
    <w:rsid w:val="00135375"/>
    <w:rsid w:val="00136F1B"/>
    <w:rsid w:val="00147DC4"/>
    <w:rsid w:val="0015151F"/>
    <w:rsid w:val="00153322"/>
    <w:rsid w:val="001538D5"/>
    <w:rsid w:val="00154E43"/>
    <w:rsid w:val="001556AB"/>
    <w:rsid w:val="00157012"/>
    <w:rsid w:val="0015764F"/>
    <w:rsid w:val="00157AF3"/>
    <w:rsid w:val="00173438"/>
    <w:rsid w:val="00173FB3"/>
    <w:rsid w:val="0018235D"/>
    <w:rsid w:val="0018549C"/>
    <w:rsid w:val="00190239"/>
    <w:rsid w:val="00195905"/>
    <w:rsid w:val="001A1194"/>
    <w:rsid w:val="001B17BF"/>
    <w:rsid w:val="001B2A8A"/>
    <w:rsid w:val="001B3B63"/>
    <w:rsid w:val="001C4A0B"/>
    <w:rsid w:val="001C6040"/>
    <w:rsid w:val="001D1A5E"/>
    <w:rsid w:val="001D784C"/>
    <w:rsid w:val="001E0321"/>
    <w:rsid w:val="001F1948"/>
    <w:rsid w:val="0020241D"/>
    <w:rsid w:val="002060CE"/>
    <w:rsid w:val="0021127D"/>
    <w:rsid w:val="00225500"/>
    <w:rsid w:val="00225811"/>
    <w:rsid w:val="00225A27"/>
    <w:rsid w:val="00226DE6"/>
    <w:rsid w:val="00227DDF"/>
    <w:rsid w:val="0023131F"/>
    <w:rsid w:val="002324BE"/>
    <w:rsid w:val="00237B2A"/>
    <w:rsid w:val="00245A6F"/>
    <w:rsid w:val="00246B92"/>
    <w:rsid w:val="00252807"/>
    <w:rsid w:val="002544FA"/>
    <w:rsid w:val="002642D3"/>
    <w:rsid w:val="002718A5"/>
    <w:rsid w:val="002724C5"/>
    <w:rsid w:val="002758EE"/>
    <w:rsid w:val="002823EB"/>
    <w:rsid w:val="002844EA"/>
    <w:rsid w:val="0029332C"/>
    <w:rsid w:val="00294FDB"/>
    <w:rsid w:val="002A3030"/>
    <w:rsid w:val="002A77E0"/>
    <w:rsid w:val="002B06BE"/>
    <w:rsid w:val="002B319F"/>
    <w:rsid w:val="002B748E"/>
    <w:rsid w:val="002B74FE"/>
    <w:rsid w:val="002C3986"/>
    <w:rsid w:val="002C6E10"/>
    <w:rsid w:val="002D1A54"/>
    <w:rsid w:val="002D4B81"/>
    <w:rsid w:val="002E0BF8"/>
    <w:rsid w:val="002E1974"/>
    <w:rsid w:val="002E51E9"/>
    <w:rsid w:val="002E5D48"/>
    <w:rsid w:val="002F51E6"/>
    <w:rsid w:val="002F7DAE"/>
    <w:rsid w:val="003117BA"/>
    <w:rsid w:val="00320861"/>
    <w:rsid w:val="003313BF"/>
    <w:rsid w:val="0033307B"/>
    <w:rsid w:val="003352A0"/>
    <w:rsid w:val="00340A54"/>
    <w:rsid w:val="0034122F"/>
    <w:rsid w:val="00342D93"/>
    <w:rsid w:val="00345842"/>
    <w:rsid w:val="00351D5A"/>
    <w:rsid w:val="00365ED9"/>
    <w:rsid w:val="0036649A"/>
    <w:rsid w:val="00372FD1"/>
    <w:rsid w:val="003748F1"/>
    <w:rsid w:val="00382865"/>
    <w:rsid w:val="0038296D"/>
    <w:rsid w:val="0039201C"/>
    <w:rsid w:val="003928C4"/>
    <w:rsid w:val="003930FB"/>
    <w:rsid w:val="003973A5"/>
    <w:rsid w:val="003A664C"/>
    <w:rsid w:val="003B0754"/>
    <w:rsid w:val="003B094A"/>
    <w:rsid w:val="003B239B"/>
    <w:rsid w:val="003B38D8"/>
    <w:rsid w:val="003B7CE5"/>
    <w:rsid w:val="003C1823"/>
    <w:rsid w:val="003D525B"/>
    <w:rsid w:val="003D6784"/>
    <w:rsid w:val="00400EF4"/>
    <w:rsid w:val="00404151"/>
    <w:rsid w:val="00410A97"/>
    <w:rsid w:val="00411908"/>
    <w:rsid w:val="004128DE"/>
    <w:rsid w:val="00414354"/>
    <w:rsid w:val="00414E86"/>
    <w:rsid w:val="00422E59"/>
    <w:rsid w:val="00427C91"/>
    <w:rsid w:val="00431AA1"/>
    <w:rsid w:val="0043296E"/>
    <w:rsid w:val="004329AD"/>
    <w:rsid w:val="00437CC2"/>
    <w:rsid w:val="004439CE"/>
    <w:rsid w:val="00443EF0"/>
    <w:rsid w:val="0044476B"/>
    <w:rsid w:val="004474D3"/>
    <w:rsid w:val="004566A5"/>
    <w:rsid w:val="00464F26"/>
    <w:rsid w:val="00471228"/>
    <w:rsid w:val="00474E53"/>
    <w:rsid w:val="004772A7"/>
    <w:rsid w:val="004807C4"/>
    <w:rsid w:val="0048401C"/>
    <w:rsid w:val="004849A2"/>
    <w:rsid w:val="00491377"/>
    <w:rsid w:val="00496B61"/>
    <w:rsid w:val="004A0768"/>
    <w:rsid w:val="004A3659"/>
    <w:rsid w:val="004A4941"/>
    <w:rsid w:val="004B6DDA"/>
    <w:rsid w:val="004C5CF7"/>
    <w:rsid w:val="004D0465"/>
    <w:rsid w:val="004D28BF"/>
    <w:rsid w:val="004D2EA2"/>
    <w:rsid w:val="004D4964"/>
    <w:rsid w:val="004D6F1A"/>
    <w:rsid w:val="004E563F"/>
    <w:rsid w:val="004E5886"/>
    <w:rsid w:val="004E7E5B"/>
    <w:rsid w:val="004F1870"/>
    <w:rsid w:val="004F5AA4"/>
    <w:rsid w:val="004F722A"/>
    <w:rsid w:val="00516B28"/>
    <w:rsid w:val="00521B37"/>
    <w:rsid w:val="00521E06"/>
    <w:rsid w:val="00524332"/>
    <w:rsid w:val="00525CAE"/>
    <w:rsid w:val="00541F01"/>
    <w:rsid w:val="00542B15"/>
    <w:rsid w:val="00543611"/>
    <w:rsid w:val="00543E57"/>
    <w:rsid w:val="005469CC"/>
    <w:rsid w:val="00546DEB"/>
    <w:rsid w:val="0055050D"/>
    <w:rsid w:val="005534BB"/>
    <w:rsid w:val="00556BF8"/>
    <w:rsid w:val="00564AEE"/>
    <w:rsid w:val="005663A1"/>
    <w:rsid w:val="00567EAB"/>
    <w:rsid w:val="005734F3"/>
    <w:rsid w:val="005750CF"/>
    <w:rsid w:val="00580826"/>
    <w:rsid w:val="0058318F"/>
    <w:rsid w:val="005925DA"/>
    <w:rsid w:val="00594705"/>
    <w:rsid w:val="005A4A96"/>
    <w:rsid w:val="005A6D20"/>
    <w:rsid w:val="005A7444"/>
    <w:rsid w:val="005B1CAC"/>
    <w:rsid w:val="005B294A"/>
    <w:rsid w:val="005B2972"/>
    <w:rsid w:val="005B38A7"/>
    <w:rsid w:val="005C682D"/>
    <w:rsid w:val="005D4695"/>
    <w:rsid w:val="005D69FE"/>
    <w:rsid w:val="005E5941"/>
    <w:rsid w:val="005F1216"/>
    <w:rsid w:val="00606CF8"/>
    <w:rsid w:val="00610F74"/>
    <w:rsid w:val="00611C9C"/>
    <w:rsid w:val="00613612"/>
    <w:rsid w:val="00616F14"/>
    <w:rsid w:val="006176B0"/>
    <w:rsid w:val="006234D6"/>
    <w:rsid w:val="0063006A"/>
    <w:rsid w:val="00631D86"/>
    <w:rsid w:val="0063620D"/>
    <w:rsid w:val="00640E79"/>
    <w:rsid w:val="00641432"/>
    <w:rsid w:val="0064460E"/>
    <w:rsid w:val="006516FA"/>
    <w:rsid w:val="0065320C"/>
    <w:rsid w:val="00663E35"/>
    <w:rsid w:val="00663E8F"/>
    <w:rsid w:val="00666849"/>
    <w:rsid w:val="00666EE8"/>
    <w:rsid w:val="00670626"/>
    <w:rsid w:val="0067459E"/>
    <w:rsid w:val="00676BCB"/>
    <w:rsid w:val="00677C64"/>
    <w:rsid w:val="00681027"/>
    <w:rsid w:val="006829FB"/>
    <w:rsid w:val="0068436B"/>
    <w:rsid w:val="00690EB7"/>
    <w:rsid w:val="006A0182"/>
    <w:rsid w:val="006A6985"/>
    <w:rsid w:val="006A7143"/>
    <w:rsid w:val="006B3C9A"/>
    <w:rsid w:val="006B6AAD"/>
    <w:rsid w:val="006C1EF8"/>
    <w:rsid w:val="006C2E43"/>
    <w:rsid w:val="006C2E5F"/>
    <w:rsid w:val="006D0801"/>
    <w:rsid w:val="006D2815"/>
    <w:rsid w:val="006D7DCF"/>
    <w:rsid w:val="006E0DF7"/>
    <w:rsid w:val="006F12D6"/>
    <w:rsid w:val="006F5EE1"/>
    <w:rsid w:val="006F65BD"/>
    <w:rsid w:val="0070025E"/>
    <w:rsid w:val="007013D1"/>
    <w:rsid w:val="00706FE5"/>
    <w:rsid w:val="00710DD9"/>
    <w:rsid w:val="0071296F"/>
    <w:rsid w:val="007160DA"/>
    <w:rsid w:val="00723EC8"/>
    <w:rsid w:val="00727F45"/>
    <w:rsid w:val="0073322E"/>
    <w:rsid w:val="00733CF4"/>
    <w:rsid w:val="00735CEA"/>
    <w:rsid w:val="00742FC0"/>
    <w:rsid w:val="00745144"/>
    <w:rsid w:val="00746265"/>
    <w:rsid w:val="0075723D"/>
    <w:rsid w:val="00757F21"/>
    <w:rsid w:val="00761600"/>
    <w:rsid w:val="00762280"/>
    <w:rsid w:val="00762620"/>
    <w:rsid w:val="00771A11"/>
    <w:rsid w:val="00775DD8"/>
    <w:rsid w:val="007809A0"/>
    <w:rsid w:val="00781543"/>
    <w:rsid w:val="00785884"/>
    <w:rsid w:val="00785C18"/>
    <w:rsid w:val="00787811"/>
    <w:rsid w:val="007903F7"/>
    <w:rsid w:val="007905DB"/>
    <w:rsid w:val="007931A1"/>
    <w:rsid w:val="007944C2"/>
    <w:rsid w:val="007A3034"/>
    <w:rsid w:val="007B1A28"/>
    <w:rsid w:val="007B56E0"/>
    <w:rsid w:val="007C2400"/>
    <w:rsid w:val="007C3873"/>
    <w:rsid w:val="007C539F"/>
    <w:rsid w:val="007C594A"/>
    <w:rsid w:val="007C644D"/>
    <w:rsid w:val="007C7094"/>
    <w:rsid w:val="007D55B3"/>
    <w:rsid w:val="007E60C9"/>
    <w:rsid w:val="007F0962"/>
    <w:rsid w:val="007F1C60"/>
    <w:rsid w:val="008118AD"/>
    <w:rsid w:val="00812BDD"/>
    <w:rsid w:val="00812C34"/>
    <w:rsid w:val="0081471B"/>
    <w:rsid w:val="0081538D"/>
    <w:rsid w:val="0081541E"/>
    <w:rsid w:val="00816F96"/>
    <w:rsid w:val="00817A9D"/>
    <w:rsid w:val="00822043"/>
    <w:rsid w:val="00825E00"/>
    <w:rsid w:val="0083144D"/>
    <w:rsid w:val="00832C6D"/>
    <w:rsid w:val="00833544"/>
    <w:rsid w:val="00834A8B"/>
    <w:rsid w:val="0084345C"/>
    <w:rsid w:val="00847F22"/>
    <w:rsid w:val="00851122"/>
    <w:rsid w:val="00854255"/>
    <w:rsid w:val="00857320"/>
    <w:rsid w:val="008644A3"/>
    <w:rsid w:val="00870A3B"/>
    <w:rsid w:val="008747B1"/>
    <w:rsid w:val="00880A6D"/>
    <w:rsid w:val="00880B68"/>
    <w:rsid w:val="00881274"/>
    <w:rsid w:val="0088647D"/>
    <w:rsid w:val="00886B2A"/>
    <w:rsid w:val="0089181D"/>
    <w:rsid w:val="00892968"/>
    <w:rsid w:val="00896DE3"/>
    <w:rsid w:val="00897E07"/>
    <w:rsid w:val="008A1EFA"/>
    <w:rsid w:val="008A51D6"/>
    <w:rsid w:val="008B01C6"/>
    <w:rsid w:val="008B7732"/>
    <w:rsid w:val="008B7C91"/>
    <w:rsid w:val="008D04B2"/>
    <w:rsid w:val="008D2A31"/>
    <w:rsid w:val="008D76AC"/>
    <w:rsid w:val="008F1713"/>
    <w:rsid w:val="008F5727"/>
    <w:rsid w:val="009008E7"/>
    <w:rsid w:val="0090140B"/>
    <w:rsid w:val="00901FED"/>
    <w:rsid w:val="009118C3"/>
    <w:rsid w:val="00915B4C"/>
    <w:rsid w:val="00917F57"/>
    <w:rsid w:val="009221F4"/>
    <w:rsid w:val="00930B43"/>
    <w:rsid w:val="00932E40"/>
    <w:rsid w:val="009422BB"/>
    <w:rsid w:val="0094550E"/>
    <w:rsid w:val="009458CD"/>
    <w:rsid w:val="009473F0"/>
    <w:rsid w:val="00947764"/>
    <w:rsid w:val="00952FF5"/>
    <w:rsid w:val="009602E7"/>
    <w:rsid w:val="00963B37"/>
    <w:rsid w:val="00970BB0"/>
    <w:rsid w:val="009724D1"/>
    <w:rsid w:val="00977085"/>
    <w:rsid w:val="00983CFD"/>
    <w:rsid w:val="00986320"/>
    <w:rsid w:val="00986EC5"/>
    <w:rsid w:val="009906A1"/>
    <w:rsid w:val="009A442B"/>
    <w:rsid w:val="009A472D"/>
    <w:rsid w:val="009A5EF7"/>
    <w:rsid w:val="009B3DF7"/>
    <w:rsid w:val="009B464C"/>
    <w:rsid w:val="009B47E7"/>
    <w:rsid w:val="009B6D65"/>
    <w:rsid w:val="009C15FD"/>
    <w:rsid w:val="009C2F98"/>
    <w:rsid w:val="009D18C7"/>
    <w:rsid w:val="009D229F"/>
    <w:rsid w:val="009D4F20"/>
    <w:rsid w:val="009E07AE"/>
    <w:rsid w:val="009E2803"/>
    <w:rsid w:val="009E535B"/>
    <w:rsid w:val="009E7C2B"/>
    <w:rsid w:val="009F14A6"/>
    <w:rsid w:val="009F1796"/>
    <w:rsid w:val="009F225D"/>
    <w:rsid w:val="009F49C0"/>
    <w:rsid w:val="00A01C9F"/>
    <w:rsid w:val="00A02507"/>
    <w:rsid w:val="00A03809"/>
    <w:rsid w:val="00A04681"/>
    <w:rsid w:val="00A04D4D"/>
    <w:rsid w:val="00A06754"/>
    <w:rsid w:val="00A11874"/>
    <w:rsid w:val="00A124A3"/>
    <w:rsid w:val="00A26205"/>
    <w:rsid w:val="00A26617"/>
    <w:rsid w:val="00A31383"/>
    <w:rsid w:val="00A349BF"/>
    <w:rsid w:val="00A4048B"/>
    <w:rsid w:val="00A71865"/>
    <w:rsid w:val="00A774A7"/>
    <w:rsid w:val="00A77916"/>
    <w:rsid w:val="00A83AF2"/>
    <w:rsid w:val="00A840D2"/>
    <w:rsid w:val="00A85282"/>
    <w:rsid w:val="00A852C6"/>
    <w:rsid w:val="00A857B2"/>
    <w:rsid w:val="00A85F27"/>
    <w:rsid w:val="00A872F7"/>
    <w:rsid w:val="00A87E01"/>
    <w:rsid w:val="00A91A74"/>
    <w:rsid w:val="00A965D8"/>
    <w:rsid w:val="00AA3C26"/>
    <w:rsid w:val="00AB2DE4"/>
    <w:rsid w:val="00AB4050"/>
    <w:rsid w:val="00AB7459"/>
    <w:rsid w:val="00AC441B"/>
    <w:rsid w:val="00AC5F96"/>
    <w:rsid w:val="00AC6A1B"/>
    <w:rsid w:val="00AD5569"/>
    <w:rsid w:val="00AE0897"/>
    <w:rsid w:val="00AF05DF"/>
    <w:rsid w:val="00AF5AF0"/>
    <w:rsid w:val="00B12B9F"/>
    <w:rsid w:val="00B13578"/>
    <w:rsid w:val="00B14EE2"/>
    <w:rsid w:val="00B16CF7"/>
    <w:rsid w:val="00B170F3"/>
    <w:rsid w:val="00B2119C"/>
    <w:rsid w:val="00B25132"/>
    <w:rsid w:val="00B25C9D"/>
    <w:rsid w:val="00B26453"/>
    <w:rsid w:val="00B306A2"/>
    <w:rsid w:val="00B319B2"/>
    <w:rsid w:val="00B3294C"/>
    <w:rsid w:val="00B375D9"/>
    <w:rsid w:val="00B4031D"/>
    <w:rsid w:val="00B444DE"/>
    <w:rsid w:val="00B45FD5"/>
    <w:rsid w:val="00B53471"/>
    <w:rsid w:val="00B620D9"/>
    <w:rsid w:val="00B633AA"/>
    <w:rsid w:val="00B65661"/>
    <w:rsid w:val="00B65A03"/>
    <w:rsid w:val="00B669F7"/>
    <w:rsid w:val="00B67638"/>
    <w:rsid w:val="00B750BC"/>
    <w:rsid w:val="00B77112"/>
    <w:rsid w:val="00B77C1C"/>
    <w:rsid w:val="00B82787"/>
    <w:rsid w:val="00B84072"/>
    <w:rsid w:val="00B904AE"/>
    <w:rsid w:val="00B932EC"/>
    <w:rsid w:val="00B93517"/>
    <w:rsid w:val="00B94024"/>
    <w:rsid w:val="00BA05E8"/>
    <w:rsid w:val="00BA2788"/>
    <w:rsid w:val="00BA5028"/>
    <w:rsid w:val="00BA659F"/>
    <w:rsid w:val="00BA6848"/>
    <w:rsid w:val="00BA6DF0"/>
    <w:rsid w:val="00BB0E8A"/>
    <w:rsid w:val="00BB2504"/>
    <w:rsid w:val="00BB5213"/>
    <w:rsid w:val="00BD1A2A"/>
    <w:rsid w:val="00BD5734"/>
    <w:rsid w:val="00BD7F81"/>
    <w:rsid w:val="00BE6742"/>
    <w:rsid w:val="00BF243D"/>
    <w:rsid w:val="00BF7E2B"/>
    <w:rsid w:val="00C01969"/>
    <w:rsid w:val="00C06209"/>
    <w:rsid w:val="00C07A75"/>
    <w:rsid w:val="00C13A8A"/>
    <w:rsid w:val="00C14827"/>
    <w:rsid w:val="00C150C8"/>
    <w:rsid w:val="00C220D3"/>
    <w:rsid w:val="00C24DE1"/>
    <w:rsid w:val="00C26B9E"/>
    <w:rsid w:val="00C26E4A"/>
    <w:rsid w:val="00C32739"/>
    <w:rsid w:val="00C35815"/>
    <w:rsid w:val="00C42F7D"/>
    <w:rsid w:val="00C54685"/>
    <w:rsid w:val="00C629F0"/>
    <w:rsid w:val="00C71FD5"/>
    <w:rsid w:val="00C72674"/>
    <w:rsid w:val="00C72AB9"/>
    <w:rsid w:val="00C73DD5"/>
    <w:rsid w:val="00C8139E"/>
    <w:rsid w:val="00C86FB5"/>
    <w:rsid w:val="00C919EF"/>
    <w:rsid w:val="00C91EC2"/>
    <w:rsid w:val="00CB0D09"/>
    <w:rsid w:val="00CB2017"/>
    <w:rsid w:val="00CC46FC"/>
    <w:rsid w:val="00CC5193"/>
    <w:rsid w:val="00CC56FF"/>
    <w:rsid w:val="00CD3DFF"/>
    <w:rsid w:val="00CD59AB"/>
    <w:rsid w:val="00CD7813"/>
    <w:rsid w:val="00CE1D5E"/>
    <w:rsid w:val="00CE3174"/>
    <w:rsid w:val="00CE5323"/>
    <w:rsid w:val="00CF190D"/>
    <w:rsid w:val="00CF1DD1"/>
    <w:rsid w:val="00CF2109"/>
    <w:rsid w:val="00D028C5"/>
    <w:rsid w:val="00D11696"/>
    <w:rsid w:val="00D13D75"/>
    <w:rsid w:val="00D21717"/>
    <w:rsid w:val="00D3119D"/>
    <w:rsid w:val="00D36A0E"/>
    <w:rsid w:val="00D40F01"/>
    <w:rsid w:val="00D4482A"/>
    <w:rsid w:val="00D467D5"/>
    <w:rsid w:val="00D469DD"/>
    <w:rsid w:val="00D473D4"/>
    <w:rsid w:val="00D55330"/>
    <w:rsid w:val="00D569BF"/>
    <w:rsid w:val="00D5745F"/>
    <w:rsid w:val="00D6122B"/>
    <w:rsid w:val="00D63311"/>
    <w:rsid w:val="00D7219C"/>
    <w:rsid w:val="00D770B4"/>
    <w:rsid w:val="00D82BE3"/>
    <w:rsid w:val="00D83371"/>
    <w:rsid w:val="00DB092E"/>
    <w:rsid w:val="00DB2C56"/>
    <w:rsid w:val="00DB2DFD"/>
    <w:rsid w:val="00DB6859"/>
    <w:rsid w:val="00DC16E3"/>
    <w:rsid w:val="00DC2464"/>
    <w:rsid w:val="00DC58D5"/>
    <w:rsid w:val="00DE2199"/>
    <w:rsid w:val="00DE2249"/>
    <w:rsid w:val="00DE7D53"/>
    <w:rsid w:val="00DE7DBC"/>
    <w:rsid w:val="00DF2C93"/>
    <w:rsid w:val="00DF499E"/>
    <w:rsid w:val="00E01A94"/>
    <w:rsid w:val="00E147EE"/>
    <w:rsid w:val="00E2104D"/>
    <w:rsid w:val="00E23D0D"/>
    <w:rsid w:val="00E24D71"/>
    <w:rsid w:val="00E272D6"/>
    <w:rsid w:val="00E325C4"/>
    <w:rsid w:val="00E36F01"/>
    <w:rsid w:val="00E40F9A"/>
    <w:rsid w:val="00E4111B"/>
    <w:rsid w:val="00E4419D"/>
    <w:rsid w:val="00E530CF"/>
    <w:rsid w:val="00E541EA"/>
    <w:rsid w:val="00E54428"/>
    <w:rsid w:val="00E546FF"/>
    <w:rsid w:val="00E54867"/>
    <w:rsid w:val="00E56FB9"/>
    <w:rsid w:val="00E5712C"/>
    <w:rsid w:val="00E6401E"/>
    <w:rsid w:val="00E6587E"/>
    <w:rsid w:val="00E65ACE"/>
    <w:rsid w:val="00E66B06"/>
    <w:rsid w:val="00E702BF"/>
    <w:rsid w:val="00E7040C"/>
    <w:rsid w:val="00E71696"/>
    <w:rsid w:val="00E7234F"/>
    <w:rsid w:val="00E84866"/>
    <w:rsid w:val="00E86F51"/>
    <w:rsid w:val="00EA0A96"/>
    <w:rsid w:val="00EA4D5E"/>
    <w:rsid w:val="00EA5F69"/>
    <w:rsid w:val="00EC2AB4"/>
    <w:rsid w:val="00EC5927"/>
    <w:rsid w:val="00EC5B43"/>
    <w:rsid w:val="00ED2E24"/>
    <w:rsid w:val="00ED376D"/>
    <w:rsid w:val="00ED4317"/>
    <w:rsid w:val="00ED6365"/>
    <w:rsid w:val="00EE1EBE"/>
    <w:rsid w:val="00EE65D5"/>
    <w:rsid w:val="00F0769B"/>
    <w:rsid w:val="00F206BF"/>
    <w:rsid w:val="00F207C5"/>
    <w:rsid w:val="00F231CD"/>
    <w:rsid w:val="00F25E6F"/>
    <w:rsid w:val="00F26057"/>
    <w:rsid w:val="00F36AFA"/>
    <w:rsid w:val="00F40227"/>
    <w:rsid w:val="00F41E34"/>
    <w:rsid w:val="00F46A06"/>
    <w:rsid w:val="00F50C9D"/>
    <w:rsid w:val="00F5278C"/>
    <w:rsid w:val="00F5353C"/>
    <w:rsid w:val="00F537A0"/>
    <w:rsid w:val="00F625DA"/>
    <w:rsid w:val="00F642BA"/>
    <w:rsid w:val="00F65636"/>
    <w:rsid w:val="00F65E7E"/>
    <w:rsid w:val="00F72F6C"/>
    <w:rsid w:val="00F748B5"/>
    <w:rsid w:val="00F7632C"/>
    <w:rsid w:val="00F824C5"/>
    <w:rsid w:val="00F828EF"/>
    <w:rsid w:val="00F84401"/>
    <w:rsid w:val="00F95512"/>
    <w:rsid w:val="00F977C4"/>
    <w:rsid w:val="00FA0539"/>
    <w:rsid w:val="00FB5810"/>
    <w:rsid w:val="00FC078A"/>
    <w:rsid w:val="00FC2A0A"/>
    <w:rsid w:val="00FC4FF8"/>
    <w:rsid w:val="00FD6B23"/>
    <w:rsid w:val="00FE1AAA"/>
    <w:rsid w:val="00FE358B"/>
    <w:rsid w:val="00FE3D8E"/>
    <w:rsid w:val="00FF05B8"/>
    <w:rsid w:val="00FF470A"/>
    <w:rsid w:val="00FF7C4E"/>
    <w:rsid w:val="07F0FB57"/>
    <w:rsid w:val="118433A2"/>
    <w:rsid w:val="19CD2F52"/>
    <w:rsid w:val="19EA21F9"/>
    <w:rsid w:val="1C44157D"/>
    <w:rsid w:val="26F29DF7"/>
    <w:rsid w:val="28090871"/>
    <w:rsid w:val="2D6C94B6"/>
    <w:rsid w:val="307B1A98"/>
    <w:rsid w:val="336D3459"/>
    <w:rsid w:val="3D52BF7A"/>
    <w:rsid w:val="5C7CF8D6"/>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50A88302-867E-418C-B050-D12D4A1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47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F7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BA6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2B3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paragraph" w:styleId="Bezmezer">
    <w:name w:val="No Spacing"/>
    <w:uiPriority w:val="1"/>
    <w:qFormat/>
    <w:rsid w:val="00762620"/>
    <w:pPr>
      <w:spacing w:after="0" w:line="240" w:lineRule="auto"/>
    </w:pPr>
  </w:style>
  <w:style w:type="character" w:customStyle="1" w:styleId="Nadpis2Char">
    <w:name w:val="Nadpis 2 Char"/>
    <w:basedOn w:val="Standardnpsmoodstavce"/>
    <w:link w:val="Nadpis2"/>
    <w:uiPriority w:val="9"/>
    <w:semiHidden/>
    <w:rsid w:val="00BA6848"/>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2F7DAE"/>
    <w:rPr>
      <w:rFonts w:asciiTheme="majorHAnsi" w:eastAsiaTheme="majorEastAsia" w:hAnsiTheme="majorHAnsi" w:cstheme="majorBidi"/>
      <w:color w:val="2F5496" w:themeColor="accent1" w:themeShade="BF"/>
      <w:sz w:val="32"/>
      <w:szCs w:val="32"/>
    </w:rPr>
  </w:style>
  <w:style w:type="paragraph" w:customStyle="1" w:styleId="pb-2">
    <w:name w:val="pb-2"/>
    <w:basedOn w:val="Normln"/>
    <w:rsid w:val="002F7DAE"/>
    <w:pPr>
      <w:spacing w:before="100" w:beforeAutospacing="1" w:after="100" w:afterAutospacing="1"/>
    </w:pPr>
  </w:style>
  <w:style w:type="character" w:styleId="Siln">
    <w:name w:val="Strong"/>
    <w:basedOn w:val="Standardnpsmoodstavce"/>
    <w:uiPriority w:val="22"/>
    <w:qFormat/>
    <w:rsid w:val="002F7DAE"/>
    <w:rPr>
      <w:b/>
      <w:bCs/>
    </w:rPr>
  </w:style>
  <w:style w:type="paragraph" w:styleId="Normlnweb">
    <w:name w:val="Normal (Web)"/>
    <w:basedOn w:val="Normln"/>
    <w:uiPriority w:val="99"/>
    <w:semiHidden/>
    <w:unhideWhenUsed/>
    <w:rsid w:val="004F5AA4"/>
    <w:pPr>
      <w:spacing w:before="100" w:beforeAutospacing="1" w:after="100" w:afterAutospacing="1"/>
    </w:pPr>
  </w:style>
  <w:style w:type="paragraph" w:styleId="Odstavecseseznamem">
    <w:name w:val="List Paragraph"/>
    <w:basedOn w:val="Normln"/>
    <w:uiPriority w:val="34"/>
    <w:qFormat/>
    <w:rsid w:val="004F5AA4"/>
    <w:pPr>
      <w:ind w:left="720"/>
      <w:contextualSpacing/>
    </w:pPr>
  </w:style>
  <w:style w:type="character" w:customStyle="1" w:styleId="Nadpis3Char">
    <w:name w:val="Nadpis 3 Char"/>
    <w:basedOn w:val="Standardnpsmoodstavce"/>
    <w:link w:val="Nadpis3"/>
    <w:uiPriority w:val="9"/>
    <w:semiHidden/>
    <w:rsid w:val="000A2B3B"/>
    <w:rPr>
      <w:rFonts w:asciiTheme="majorHAnsi" w:eastAsiaTheme="majorEastAsia" w:hAnsiTheme="majorHAnsi" w:cstheme="majorBidi"/>
      <w:color w:val="1F3763" w:themeColor="accent1" w:themeShade="7F"/>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132214120">
      <w:bodyDiv w:val="1"/>
      <w:marLeft w:val="0"/>
      <w:marRight w:val="0"/>
      <w:marTop w:val="0"/>
      <w:marBottom w:val="0"/>
      <w:divBdr>
        <w:top w:val="none" w:sz="0" w:space="0" w:color="auto"/>
        <w:left w:val="none" w:sz="0" w:space="0" w:color="auto"/>
        <w:bottom w:val="none" w:sz="0" w:space="0" w:color="auto"/>
        <w:right w:val="none" w:sz="0" w:space="0" w:color="auto"/>
      </w:divBdr>
      <w:divsChild>
        <w:div w:id="880560162">
          <w:marLeft w:val="0"/>
          <w:marRight w:val="0"/>
          <w:marTop w:val="0"/>
          <w:marBottom w:val="0"/>
          <w:divBdr>
            <w:top w:val="none" w:sz="0" w:space="0" w:color="auto"/>
            <w:left w:val="none" w:sz="0" w:space="0" w:color="auto"/>
            <w:bottom w:val="none" w:sz="0" w:space="0" w:color="auto"/>
            <w:right w:val="none" w:sz="0" w:space="0" w:color="auto"/>
          </w:divBdr>
        </w:div>
        <w:div w:id="1434207904">
          <w:marLeft w:val="0"/>
          <w:marRight w:val="0"/>
          <w:marTop w:val="0"/>
          <w:marBottom w:val="0"/>
          <w:divBdr>
            <w:top w:val="none" w:sz="0" w:space="0" w:color="auto"/>
            <w:left w:val="none" w:sz="0" w:space="0" w:color="auto"/>
            <w:bottom w:val="none" w:sz="0" w:space="0" w:color="auto"/>
            <w:right w:val="none" w:sz="0" w:space="0" w:color="auto"/>
          </w:divBdr>
        </w:div>
        <w:div w:id="190068623">
          <w:marLeft w:val="0"/>
          <w:marRight w:val="0"/>
          <w:marTop w:val="0"/>
          <w:marBottom w:val="0"/>
          <w:divBdr>
            <w:top w:val="none" w:sz="0" w:space="0" w:color="auto"/>
            <w:left w:val="none" w:sz="0" w:space="0" w:color="auto"/>
            <w:bottom w:val="none" w:sz="0" w:space="0" w:color="auto"/>
            <w:right w:val="none" w:sz="0" w:space="0" w:color="auto"/>
          </w:divBdr>
        </w:div>
        <w:div w:id="80680441">
          <w:marLeft w:val="0"/>
          <w:marRight w:val="0"/>
          <w:marTop w:val="0"/>
          <w:marBottom w:val="0"/>
          <w:divBdr>
            <w:top w:val="none" w:sz="0" w:space="0" w:color="auto"/>
            <w:left w:val="none" w:sz="0" w:space="0" w:color="auto"/>
            <w:bottom w:val="none" w:sz="0" w:space="0" w:color="auto"/>
            <w:right w:val="none" w:sz="0" w:space="0" w:color="auto"/>
          </w:divBdr>
        </w:div>
      </w:divsChild>
    </w:div>
    <w:div w:id="142084658">
      <w:bodyDiv w:val="1"/>
      <w:marLeft w:val="0"/>
      <w:marRight w:val="0"/>
      <w:marTop w:val="0"/>
      <w:marBottom w:val="0"/>
      <w:divBdr>
        <w:top w:val="none" w:sz="0" w:space="0" w:color="auto"/>
        <w:left w:val="none" w:sz="0" w:space="0" w:color="auto"/>
        <w:bottom w:val="none" w:sz="0" w:space="0" w:color="auto"/>
        <w:right w:val="none" w:sz="0" w:space="0" w:color="auto"/>
      </w:divBdr>
    </w:div>
    <w:div w:id="443382722">
      <w:bodyDiv w:val="1"/>
      <w:marLeft w:val="0"/>
      <w:marRight w:val="0"/>
      <w:marTop w:val="0"/>
      <w:marBottom w:val="0"/>
      <w:divBdr>
        <w:top w:val="none" w:sz="0" w:space="0" w:color="auto"/>
        <w:left w:val="none" w:sz="0" w:space="0" w:color="auto"/>
        <w:bottom w:val="none" w:sz="0" w:space="0" w:color="auto"/>
        <w:right w:val="none" w:sz="0" w:space="0" w:color="auto"/>
      </w:divBdr>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sChild>
    </w:div>
    <w:div w:id="471556881">
      <w:bodyDiv w:val="1"/>
      <w:marLeft w:val="0"/>
      <w:marRight w:val="0"/>
      <w:marTop w:val="0"/>
      <w:marBottom w:val="0"/>
      <w:divBdr>
        <w:top w:val="none" w:sz="0" w:space="0" w:color="auto"/>
        <w:left w:val="none" w:sz="0" w:space="0" w:color="auto"/>
        <w:bottom w:val="none" w:sz="0" w:space="0" w:color="auto"/>
        <w:right w:val="none" w:sz="0" w:space="0" w:color="auto"/>
      </w:divBdr>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522742563">
      <w:bodyDiv w:val="1"/>
      <w:marLeft w:val="0"/>
      <w:marRight w:val="0"/>
      <w:marTop w:val="0"/>
      <w:marBottom w:val="0"/>
      <w:divBdr>
        <w:top w:val="none" w:sz="0" w:space="0" w:color="auto"/>
        <w:left w:val="none" w:sz="0" w:space="0" w:color="auto"/>
        <w:bottom w:val="none" w:sz="0" w:space="0" w:color="auto"/>
        <w:right w:val="none" w:sz="0" w:space="0" w:color="auto"/>
      </w:divBdr>
      <w:divsChild>
        <w:div w:id="1124546434">
          <w:marLeft w:val="0"/>
          <w:marRight w:val="0"/>
          <w:marTop w:val="0"/>
          <w:marBottom w:val="0"/>
          <w:divBdr>
            <w:top w:val="none" w:sz="0" w:space="0" w:color="auto"/>
            <w:left w:val="none" w:sz="0" w:space="0" w:color="auto"/>
            <w:bottom w:val="none" w:sz="0" w:space="0" w:color="auto"/>
            <w:right w:val="none" w:sz="0" w:space="0" w:color="auto"/>
          </w:divBdr>
        </w:div>
        <w:div w:id="5328085">
          <w:marLeft w:val="0"/>
          <w:marRight w:val="0"/>
          <w:marTop w:val="0"/>
          <w:marBottom w:val="0"/>
          <w:divBdr>
            <w:top w:val="none" w:sz="0" w:space="0" w:color="auto"/>
            <w:left w:val="none" w:sz="0" w:space="0" w:color="auto"/>
            <w:bottom w:val="none" w:sz="0" w:space="0" w:color="auto"/>
            <w:right w:val="none" w:sz="0" w:space="0" w:color="auto"/>
          </w:divBdr>
        </w:div>
        <w:div w:id="329023326">
          <w:marLeft w:val="0"/>
          <w:marRight w:val="0"/>
          <w:marTop w:val="0"/>
          <w:marBottom w:val="0"/>
          <w:divBdr>
            <w:top w:val="none" w:sz="0" w:space="0" w:color="auto"/>
            <w:left w:val="none" w:sz="0" w:space="0" w:color="auto"/>
            <w:bottom w:val="none" w:sz="0" w:space="0" w:color="auto"/>
            <w:right w:val="none" w:sz="0" w:space="0" w:color="auto"/>
          </w:divBdr>
        </w:div>
        <w:div w:id="2012026088">
          <w:marLeft w:val="0"/>
          <w:marRight w:val="0"/>
          <w:marTop w:val="0"/>
          <w:marBottom w:val="0"/>
          <w:divBdr>
            <w:top w:val="none" w:sz="0" w:space="0" w:color="auto"/>
            <w:left w:val="none" w:sz="0" w:space="0" w:color="auto"/>
            <w:bottom w:val="none" w:sz="0" w:space="0" w:color="auto"/>
            <w:right w:val="none" w:sz="0" w:space="0" w:color="auto"/>
          </w:divBdr>
        </w:div>
      </w:divsChild>
    </w:div>
    <w:div w:id="598296867">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2089040485">
          <w:marLeft w:val="0"/>
          <w:marRight w:val="0"/>
          <w:marTop w:val="0"/>
          <w:marBottom w:val="0"/>
          <w:divBdr>
            <w:top w:val="none" w:sz="0" w:space="0" w:color="auto"/>
            <w:left w:val="none" w:sz="0" w:space="0" w:color="auto"/>
            <w:bottom w:val="none" w:sz="0" w:space="0" w:color="auto"/>
            <w:right w:val="none" w:sz="0" w:space="0" w:color="auto"/>
          </w:divBdr>
        </w:div>
        <w:div w:id="1254162753">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740754056">
      <w:bodyDiv w:val="1"/>
      <w:marLeft w:val="0"/>
      <w:marRight w:val="0"/>
      <w:marTop w:val="0"/>
      <w:marBottom w:val="0"/>
      <w:divBdr>
        <w:top w:val="none" w:sz="0" w:space="0" w:color="auto"/>
        <w:left w:val="none" w:sz="0" w:space="0" w:color="auto"/>
        <w:bottom w:val="none" w:sz="0" w:space="0" w:color="auto"/>
        <w:right w:val="none" w:sz="0" w:space="0" w:color="auto"/>
      </w:divBdr>
    </w:div>
    <w:div w:id="765730447">
      <w:bodyDiv w:val="1"/>
      <w:marLeft w:val="0"/>
      <w:marRight w:val="0"/>
      <w:marTop w:val="0"/>
      <w:marBottom w:val="0"/>
      <w:divBdr>
        <w:top w:val="none" w:sz="0" w:space="0" w:color="auto"/>
        <w:left w:val="none" w:sz="0" w:space="0" w:color="auto"/>
        <w:bottom w:val="none" w:sz="0" w:space="0" w:color="auto"/>
        <w:right w:val="none" w:sz="0" w:space="0" w:color="auto"/>
      </w:divBdr>
    </w:div>
    <w:div w:id="813378958">
      <w:bodyDiv w:val="1"/>
      <w:marLeft w:val="0"/>
      <w:marRight w:val="0"/>
      <w:marTop w:val="0"/>
      <w:marBottom w:val="0"/>
      <w:divBdr>
        <w:top w:val="none" w:sz="0" w:space="0" w:color="auto"/>
        <w:left w:val="none" w:sz="0" w:space="0" w:color="auto"/>
        <w:bottom w:val="none" w:sz="0" w:space="0" w:color="auto"/>
        <w:right w:val="none" w:sz="0" w:space="0" w:color="auto"/>
      </w:divBdr>
    </w:div>
    <w:div w:id="837505710">
      <w:bodyDiv w:val="1"/>
      <w:marLeft w:val="0"/>
      <w:marRight w:val="0"/>
      <w:marTop w:val="0"/>
      <w:marBottom w:val="0"/>
      <w:divBdr>
        <w:top w:val="none" w:sz="0" w:space="0" w:color="auto"/>
        <w:left w:val="none" w:sz="0" w:space="0" w:color="auto"/>
        <w:bottom w:val="none" w:sz="0" w:space="0" w:color="auto"/>
        <w:right w:val="none" w:sz="0" w:space="0" w:color="auto"/>
      </w:divBdr>
      <w:divsChild>
        <w:div w:id="882255095">
          <w:marLeft w:val="274"/>
          <w:marRight w:val="0"/>
          <w:marTop w:val="120"/>
          <w:marBottom w:val="120"/>
          <w:divBdr>
            <w:top w:val="none" w:sz="0" w:space="0" w:color="auto"/>
            <w:left w:val="none" w:sz="0" w:space="0" w:color="auto"/>
            <w:bottom w:val="none" w:sz="0" w:space="0" w:color="auto"/>
            <w:right w:val="none" w:sz="0" w:space="0" w:color="auto"/>
          </w:divBdr>
        </w:div>
        <w:div w:id="1737900509">
          <w:marLeft w:val="806"/>
          <w:marRight w:val="0"/>
          <w:marTop w:val="60"/>
          <w:marBottom w:val="60"/>
          <w:divBdr>
            <w:top w:val="none" w:sz="0" w:space="0" w:color="auto"/>
            <w:left w:val="none" w:sz="0" w:space="0" w:color="auto"/>
            <w:bottom w:val="none" w:sz="0" w:space="0" w:color="auto"/>
            <w:right w:val="none" w:sz="0" w:space="0" w:color="auto"/>
          </w:divBdr>
        </w:div>
        <w:div w:id="734665477">
          <w:marLeft w:val="806"/>
          <w:marRight w:val="0"/>
          <w:marTop w:val="60"/>
          <w:marBottom w:val="60"/>
          <w:divBdr>
            <w:top w:val="none" w:sz="0" w:space="0" w:color="auto"/>
            <w:left w:val="none" w:sz="0" w:space="0" w:color="auto"/>
            <w:bottom w:val="none" w:sz="0" w:space="0" w:color="auto"/>
            <w:right w:val="none" w:sz="0" w:space="0" w:color="auto"/>
          </w:divBdr>
        </w:div>
        <w:div w:id="1646154950">
          <w:marLeft w:val="806"/>
          <w:marRight w:val="0"/>
          <w:marTop w:val="60"/>
          <w:marBottom w:val="60"/>
          <w:divBdr>
            <w:top w:val="none" w:sz="0" w:space="0" w:color="auto"/>
            <w:left w:val="none" w:sz="0" w:space="0" w:color="auto"/>
            <w:bottom w:val="none" w:sz="0" w:space="0" w:color="auto"/>
            <w:right w:val="none" w:sz="0" w:space="0" w:color="auto"/>
          </w:divBdr>
        </w:div>
        <w:div w:id="1679692250">
          <w:marLeft w:val="806"/>
          <w:marRight w:val="0"/>
          <w:marTop w:val="60"/>
          <w:marBottom w:val="60"/>
          <w:divBdr>
            <w:top w:val="none" w:sz="0" w:space="0" w:color="auto"/>
            <w:left w:val="none" w:sz="0" w:space="0" w:color="auto"/>
            <w:bottom w:val="none" w:sz="0" w:space="0" w:color="auto"/>
            <w:right w:val="none" w:sz="0" w:space="0" w:color="auto"/>
          </w:divBdr>
        </w:div>
        <w:div w:id="141386628">
          <w:marLeft w:val="806"/>
          <w:marRight w:val="0"/>
          <w:marTop w:val="60"/>
          <w:marBottom w:val="60"/>
          <w:divBdr>
            <w:top w:val="none" w:sz="0" w:space="0" w:color="auto"/>
            <w:left w:val="none" w:sz="0" w:space="0" w:color="auto"/>
            <w:bottom w:val="none" w:sz="0" w:space="0" w:color="auto"/>
            <w:right w:val="none" w:sz="0" w:space="0" w:color="auto"/>
          </w:divBdr>
        </w:div>
        <w:div w:id="410666587">
          <w:marLeft w:val="274"/>
          <w:marRight w:val="0"/>
          <w:marTop w:val="120"/>
          <w:marBottom w:val="120"/>
          <w:divBdr>
            <w:top w:val="none" w:sz="0" w:space="0" w:color="auto"/>
            <w:left w:val="none" w:sz="0" w:space="0" w:color="auto"/>
            <w:bottom w:val="none" w:sz="0" w:space="0" w:color="auto"/>
            <w:right w:val="none" w:sz="0" w:space="0" w:color="auto"/>
          </w:divBdr>
        </w:div>
        <w:div w:id="1032995762">
          <w:marLeft w:val="806"/>
          <w:marRight w:val="0"/>
          <w:marTop w:val="60"/>
          <w:marBottom w:val="60"/>
          <w:divBdr>
            <w:top w:val="none" w:sz="0" w:space="0" w:color="auto"/>
            <w:left w:val="none" w:sz="0" w:space="0" w:color="auto"/>
            <w:bottom w:val="none" w:sz="0" w:space="0" w:color="auto"/>
            <w:right w:val="none" w:sz="0" w:space="0" w:color="auto"/>
          </w:divBdr>
        </w:div>
        <w:div w:id="160779656">
          <w:marLeft w:val="806"/>
          <w:marRight w:val="0"/>
          <w:marTop w:val="60"/>
          <w:marBottom w:val="60"/>
          <w:divBdr>
            <w:top w:val="none" w:sz="0" w:space="0" w:color="auto"/>
            <w:left w:val="none" w:sz="0" w:space="0" w:color="auto"/>
            <w:bottom w:val="none" w:sz="0" w:space="0" w:color="auto"/>
            <w:right w:val="none" w:sz="0" w:space="0" w:color="auto"/>
          </w:divBdr>
        </w:div>
        <w:div w:id="1299187727">
          <w:marLeft w:val="806"/>
          <w:marRight w:val="0"/>
          <w:marTop w:val="60"/>
          <w:marBottom w:val="60"/>
          <w:divBdr>
            <w:top w:val="none" w:sz="0" w:space="0" w:color="auto"/>
            <w:left w:val="none" w:sz="0" w:space="0" w:color="auto"/>
            <w:bottom w:val="none" w:sz="0" w:space="0" w:color="auto"/>
            <w:right w:val="none" w:sz="0" w:space="0" w:color="auto"/>
          </w:divBdr>
        </w:div>
      </w:divsChild>
    </w:div>
    <w:div w:id="861210007">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037008662">
      <w:bodyDiv w:val="1"/>
      <w:marLeft w:val="0"/>
      <w:marRight w:val="0"/>
      <w:marTop w:val="0"/>
      <w:marBottom w:val="0"/>
      <w:divBdr>
        <w:top w:val="none" w:sz="0" w:space="0" w:color="auto"/>
        <w:left w:val="none" w:sz="0" w:space="0" w:color="auto"/>
        <w:bottom w:val="none" w:sz="0" w:space="0" w:color="auto"/>
        <w:right w:val="none" w:sz="0" w:space="0" w:color="auto"/>
      </w:divBdr>
    </w:div>
    <w:div w:id="1107771264">
      <w:bodyDiv w:val="1"/>
      <w:marLeft w:val="0"/>
      <w:marRight w:val="0"/>
      <w:marTop w:val="0"/>
      <w:marBottom w:val="0"/>
      <w:divBdr>
        <w:top w:val="none" w:sz="0" w:space="0" w:color="auto"/>
        <w:left w:val="none" w:sz="0" w:space="0" w:color="auto"/>
        <w:bottom w:val="none" w:sz="0" w:space="0" w:color="auto"/>
        <w:right w:val="none" w:sz="0" w:space="0" w:color="auto"/>
      </w:divBdr>
    </w:div>
    <w:div w:id="1124150848">
      <w:bodyDiv w:val="1"/>
      <w:marLeft w:val="0"/>
      <w:marRight w:val="0"/>
      <w:marTop w:val="0"/>
      <w:marBottom w:val="0"/>
      <w:divBdr>
        <w:top w:val="none" w:sz="0" w:space="0" w:color="auto"/>
        <w:left w:val="none" w:sz="0" w:space="0" w:color="auto"/>
        <w:bottom w:val="none" w:sz="0" w:space="0" w:color="auto"/>
        <w:right w:val="none" w:sz="0" w:space="0" w:color="auto"/>
      </w:divBdr>
    </w:div>
    <w:div w:id="1153178418">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28419376">
      <w:bodyDiv w:val="1"/>
      <w:marLeft w:val="0"/>
      <w:marRight w:val="0"/>
      <w:marTop w:val="0"/>
      <w:marBottom w:val="0"/>
      <w:divBdr>
        <w:top w:val="none" w:sz="0" w:space="0" w:color="auto"/>
        <w:left w:val="none" w:sz="0" w:space="0" w:color="auto"/>
        <w:bottom w:val="none" w:sz="0" w:space="0" w:color="auto"/>
        <w:right w:val="none" w:sz="0" w:space="0" w:color="auto"/>
      </w:divBdr>
    </w:div>
    <w:div w:id="1238782828">
      <w:bodyDiv w:val="1"/>
      <w:marLeft w:val="0"/>
      <w:marRight w:val="0"/>
      <w:marTop w:val="0"/>
      <w:marBottom w:val="0"/>
      <w:divBdr>
        <w:top w:val="none" w:sz="0" w:space="0" w:color="auto"/>
        <w:left w:val="none" w:sz="0" w:space="0" w:color="auto"/>
        <w:bottom w:val="none" w:sz="0" w:space="0" w:color="auto"/>
        <w:right w:val="none" w:sz="0" w:space="0" w:color="auto"/>
      </w:divBdr>
      <w:divsChild>
        <w:div w:id="101921307">
          <w:marLeft w:val="274"/>
          <w:marRight w:val="0"/>
          <w:marTop w:val="120"/>
          <w:marBottom w:val="120"/>
          <w:divBdr>
            <w:top w:val="none" w:sz="0" w:space="0" w:color="auto"/>
            <w:left w:val="none" w:sz="0" w:space="0" w:color="auto"/>
            <w:bottom w:val="none" w:sz="0" w:space="0" w:color="auto"/>
            <w:right w:val="none" w:sz="0" w:space="0" w:color="auto"/>
          </w:divBdr>
        </w:div>
        <w:div w:id="805853357">
          <w:marLeft w:val="806"/>
          <w:marRight w:val="0"/>
          <w:marTop w:val="60"/>
          <w:marBottom w:val="60"/>
          <w:divBdr>
            <w:top w:val="none" w:sz="0" w:space="0" w:color="auto"/>
            <w:left w:val="none" w:sz="0" w:space="0" w:color="auto"/>
            <w:bottom w:val="none" w:sz="0" w:space="0" w:color="auto"/>
            <w:right w:val="none" w:sz="0" w:space="0" w:color="auto"/>
          </w:divBdr>
        </w:div>
        <w:div w:id="1958562651">
          <w:marLeft w:val="806"/>
          <w:marRight w:val="0"/>
          <w:marTop w:val="60"/>
          <w:marBottom w:val="60"/>
          <w:divBdr>
            <w:top w:val="none" w:sz="0" w:space="0" w:color="auto"/>
            <w:left w:val="none" w:sz="0" w:space="0" w:color="auto"/>
            <w:bottom w:val="none" w:sz="0" w:space="0" w:color="auto"/>
            <w:right w:val="none" w:sz="0" w:space="0" w:color="auto"/>
          </w:divBdr>
        </w:div>
        <w:div w:id="128715767">
          <w:marLeft w:val="806"/>
          <w:marRight w:val="0"/>
          <w:marTop w:val="60"/>
          <w:marBottom w:val="60"/>
          <w:divBdr>
            <w:top w:val="none" w:sz="0" w:space="0" w:color="auto"/>
            <w:left w:val="none" w:sz="0" w:space="0" w:color="auto"/>
            <w:bottom w:val="none" w:sz="0" w:space="0" w:color="auto"/>
            <w:right w:val="none" w:sz="0" w:space="0" w:color="auto"/>
          </w:divBdr>
        </w:div>
        <w:div w:id="865367830">
          <w:marLeft w:val="806"/>
          <w:marRight w:val="0"/>
          <w:marTop w:val="60"/>
          <w:marBottom w:val="60"/>
          <w:divBdr>
            <w:top w:val="none" w:sz="0" w:space="0" w:color="auto"/>
            <w:left w:val="none" w:sz="0" w:space="0" w:color="auto"/>
            <w:bottom w:val="none" w:sz="0" w:space="0" w:color="auto"/>
            <w:right w:val="none" w:sz="0" w:space="0" w:color="auto"/>
          </w:divBdr>
        </w:div>
        <w:div w:id="151141848">
          <w:marLeft w:val="806"/>
          <w:marRight w:val="0"/>
          <w:marTop w:val="60"/>
          <w:marBottom w:val="60"/>
          <w:divBdr>
            <w:top w:val="none" w:sz="0" w:space="0" w:color="auto"/>
            <w:left w:val="none" w:sz="0" w:space="0" w:color="auto"/>
            <w:bottom w:val="none" w:sz="0" w:space="0" w:color="auto"/>
            <w:right w:val="none" w:sz="0" w:space="0" w:color="auto"/>
          </w:divBdr>
        </w:div>
        <w:div w:id="1276865742">
          <w:marLeft w:val="274"/>
          <w:marRight w:val="0"/>
          <w:marTop w:val="120"/>
          <w:marBottom w:val="120"/>
          <w:divBdr>
            <w:top w:val="none" w:sz="0" w:space="0" w:color="auto"/>
            <w:left w:val="none" w:sz="0" w:space="0" w:color="auto"/>
            <w:bottom w:val="none" w:sz="0" w:space="0" w:color="auto"/>
            <w:right w:val="none" w:sz="0" w:space="0" w:color="auto"/>
          </w:divBdr>
        </w:div>
        <w:div w:id="565647324">
          <w:marLeft w:val="806"/>
          <w:marRight w:val="0"/>
          <w:marTop w:val="60"/>
          <w:marBottom w:val="60"/>
          <w:divBdr>
            <w:top w:val="none" w:sz="0" w:space="0" w:color="auto"/>
            <w:left w:val="none" w:sz="0" w:space="0" w:color="auto"/>
            <w:bottom w:val="none" w:sz="0" w:space="0" w:color="auto"/>
            <w:right w:val="none" w:sz="0" w:space="0" w:color="auto"/>
          </w:divBdr>
        </w:div>
        <w:div w:id="246425561">
          <w:marLeft w:val="806"/>
          <w:marRight w:val="0"/>
          <w:marTop w:val="60"/>
          <w:marBottom w:val="60"/>
          <w:divBdr>
            <w:top w:val="none" w:sz="0" w:space="0" w:color="auto"/>
            <w:left w:val="none" w:sz="0" w:space="0" w:color="auto"/>
            <w:bottom w:val="none" w:sz="0" w:space="0" w:color="auto"/>
            <w:right w:val="none" w:sz="0" w:space="0" w:color="auto"/>
          </w:divBdr>
        </w:div>
        <w:div w:id="1901790237">
          <w:marLeft w:val="806"/>
          <w:marRight w:val="0"/>
          <w:marTop w:val="60"/>
          <w:marBottom w:val="60"/>
          <w:divBdr>
            <w:top w:val="none" w:sz="0" w:space="0" w:color="auto"/>
            <w:left w:val="none" w:sz="0" w:space="0" w:color="auto"/>
            <w:bottom w:val="none" w:sz="0" w:space="0" w:color="auto"/>
            <w:right w:val="none" w:sz="0" w:space="0" w:color="auto"/>
          </w:divBdr>
        </w:div>
      </w:divsChild>
    </w:div>
    <w:div w:id="1256135026">
      <w:bodyDiv w:val="1"/>
      <w:marLeft w:val="0"/>
      <w:marRight w:val="0"/>
      <w:marTop w:val="0"/>
      <w:marBottom w:val="0"/>
      <w:divBdr>
        <w:top w:val="none" w:sz="0" w:space="0" w:color="auto"/>
        <w:left w:val="none" w:sz="0" w:space="0" w:color="auto"/>
        <w:bottom w:val="none" w:sz="0" w:space="0" w:color="auto"/>
        <w:right w:val="none" w:sz="0" w:space="0" w:color="auto"/>
      </w:divBdr>
    </w:div>
    <w:div w:id="1276669669">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283540448">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570383444">
      <w:bodyDiv w:val="1"/>
      <w:marLeft w:val="0"/>
      <w:marRight w:val="0"/>
      <w:marTop w:val="0"/>
      <w:marBottom w:val="0"/>
      <w:divBdr>
        <w:top w:val="none" w:sz="0" w:space="0" w:color="auto"/>
        <w:left w:val="none" w:sz="0" w:space="0" w:color="auto"/>
        <w:bottom w:val="none" w:sz="0" w:space="0" w:color="auto"/>
        <w:right w:val="none" w:sz="0" w:space="0" w:color="auto"/>
      </w:divBdr>
    </w:div>
    <w:div w:id="1657345705">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1777630079">
      <w:bodyDiv w:val="1"/>
      <w:marLeft w:val="0"/>
      <w:marRight w:val="0"/>
      <w:marTop w:val="0"/>
      <w:marBottom w:val="0"/>
      <w:divBdr>
        <w:top w:val="none" w:sz="0" w:space="0" w:color="auto"/>
        <w:left w:val="none" w:sz="0" w:space="0" w:color="auto"/>
        <w:bottom w:val="none" w:sz="0" w:space="0" w:color="auto"/>
        <w:right w:val="none" w:sz="0" w:space="0" w:color="auto"/>
      </w:divBdr>
    </w:div>
    <w:div w:id="1887135282">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2042245323">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066683717">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073647381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omecredit.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rina.dobesova@homecredi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d603c823-c8e5-4558-a031-867f95ca9115"/>
    <ds:schemaRef ds:uri="18c12310-cec0-45af-89e4-4278154c9cc2"/>
  </ds:schemaRefs>
</ds:datastoreItem>
</file>

<file path=customXml/itemProps2.xml><?xml version="1.0" encoding="utf-8"?>
<ds:datastoreItem xmlns:ds="http://schemas.openxmlformats.org/officeDocument/2006/customXml" ds:itemID="{BD36A4F9-FAC9-4ED9-89CC-D4E5B10F413A}">
  <ds:schemaRefs>
    <ds:schemaRef ds:uri="http://schemas.openxmlformats.org/officeDocument/2006/bibliography"/>
  </ds:schemaRefs>
</ds:datastoreItem>
</file>

<file path=customXml/itemProps3.xml><?xml version="1.0" encoding="utf-8"?>
<ds:datastoreItem xmlns:ds="http://schemas.openxmlformats.org/officeDocument/2006/customXml" ds:itemID="{D72E73AB-21EC-4319-9CB4-373D6B3D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5B727-9155-4A28-A1A0-48A8A0BC3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Marie Cimplová</cp:lastModifiedBy>
  <cp:revision>45</cp:revision>
  <cp:lastPrinted>2025-01-28T08:08:00Z</cp:lastPrinted>
  <dcterms:created xsi:type="dcterms:W3CDTF">2025-07-07T12:27:00Z</dcterms:created>
  <dcterms:modified xsi:type="dcterms:W3CDTF">2025-07-21T08:26:00Z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0x010100D037425BC85BAC47A18BE758018E6255</vt:lpwstr>
  </property>
  <property fmtid="{D5CDD505-2E9C-101B-9397-08002B2CF9AE}" pid="13" name="MediaServiceImageTags">
    <vt:lpwstr/>
  </property>
</Properties>
</file>